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城中区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Hans"/>
        </w:rPr>
        <w:t>优化营商环境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工作要点》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政策解读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主要背景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eastAsia="zh-Hans"/>
        </w:rPr>
        <w:t>深入贯彻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eastAsia="zh-CN"/>
        </w:rPr>
        <w:t>落实党中央、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自治区、柳州市和城中区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kern w:val="21"/>
          <w:sz w:val="32"/>
          <w:szCs w:val="32"/>
          <w:highlight w:val="none"/>
          <w:lang w:val="en-US" w:eastAsia="zh-CN" w:bidi="ar"/>
        </w:rPr>
        <w:t>关于优化营商环境工作部署，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持续对标先进打造市场化法治化国际化营商环境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，壮大实体经济推动高质量发展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区实际，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Hans"/>
        </w:rPr>
        <w:t>特制定本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工作要点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Hans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优化营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商环境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工作要点》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2大点，18个方面。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第一大点从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准入退出、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市政公共基础设施报装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人力资源保障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创新创业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普惠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金融服务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跨境贸易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解决商业纠纷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公平竞争市场秩序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办理破产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等11个方面对稳定市场环境提出工作要求。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第二大点从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政务服务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惠企政策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知识产权保护和运用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精准高效监管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规范监管执法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包容普惠创新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专项监督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等7个方面对高效政务服务及执法方面提出工作要求。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主要特点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进一步完善本级优化营商环境工作推进机制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强化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政府部门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责任担当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，推动改革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eastAsia="zh-CN" w:bidi="ar"/>
        </w:rPr>
        <w:t>措施落地见效，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"/>
        </w:rPr>
        <w:t>惠企政策落实，为企业和群众提供更加优质高效的服务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63037"/>
    <w:multiLevelType w:val="singleLevel"/>
    <w:tmpl w:val="81D63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03717"/>
    <w:rsid w:val="77D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2024-08-14T09:03:00Z</dcterms:created>
  <dc:creator>PC</dc:creator>
  <cp:lastModifiedBy>PC</cp:lastModifiedBy>
  <dcterms:modified xsi:type="dcterms:W3CDTF">2024-08-14T09:22:04Z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0E300148C6F747C392F08C0C60B0E95E</vt:lpwstr>
  </property>
</Properties>
</file>