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3"/>
        <w:spacing w:line="560" w:lineRule="exact"/>
        <w:jc w:val="center"/>
        <w:rPr>
          <w:rFonts w:ascii="Times New Roman" w:hAnsi="Times New Roman" w:eastAsia="方正小标宋_GBK"/>
          <w:bCs/>
          <w:color w:val="000000"/>
          <w:sz w:val="44"/>
          <w:szCs w:val="44"/>
        </w:rPr>
      </w:pPr>
      <w:r>
        <w:rPr>
          <w:rFonts w:hint="eastAsia" w:ascii="Times New Roman" w:hAnsi="Times New Roman" w:eastAsia="方正小标宋_GBK"/>
          <w:bCs/>
          <w:color w:val="000000"/>
          <w:sz w:val="44"/>
          <w:szCs w:val="44"/>
        </w:rPr>
        <w:t>“一件事”套餐办事指南</w:t>
      </w:r>
    </w:p>
    <w:p>
      <w:pPr>
        <w:suppressAutoHyphens/>
        <w:spacing w:line="560" w:lineRule="exact"/>
        <w:ind w:firstLine="2200" w:firstLineChars="5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黑体"/>
          <w:sz w:val="44"/>
          <w:szCs w:val="44"/>
        </w:rPr>
        <w:t>我要开农家乐休闲山庄</w:t>
      </w:r>
    </w:p>
    <w:tbl>
      <w:tblPr>
        <w:tblStyle w:val="8"/>
        <w:tblW w:w="881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690"/>
        <w:gridCol w:w="444"/>
        <w:gridCol w:w="2352"/>
        <w:gridCol w:w="281"/>
        <w:gridCol w:w="769"/>
        <w:gridCol w:w="212"/>
        <w:gridCol w:w="141"/>
        <w:gridCol w:w="1631"/>
        <w:gridCol w:w="1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811" w:type="dxa"/>
            <w:gridSpan w:val="10"/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一、基本信息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套餐名称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我要开农家乐休闲山庄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25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涉及事项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1.企业开办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258" w:type="dxa"/>
            <w:gridSpan w:val="2"/>
            <w:vMerge w:val="continue"/>
            <w:vAlign w:val="center"/>
          </w:tcPr>
          <w:p/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2.小餐饮登记(新办)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涉及办理部门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suppressAutoHyphens/>
              <w:spacing w:line="560" w:lineRule="exact"/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  <w:lang w:eastAsia="zh-CN"/>
              </w:rPr>
              <w:t>城中区</w:t>
            </w:r>
            <w:r>
              <w:rPr>
                <w:rFonts w:hint="eastAsia" w:ascii="Times New Roman" w:hAnsi="Times New Roman" w:eastAsia="仿宋_GB2312"/>
                <w:sz w:val="22"/>
              </w:rPr>
              <w:t>市场监督管理局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联办承诺办结时限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仿宋_GB2312"/>
                <w:sz w:val="22"/>
              </w:rPr>
              <w:t>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bookmarkStart w:id="0" w:name="_Hlk69807649"/>
            <w:r>
              <w:rPr>
                <w:rFonts w:hint="eastAsia" w:ascii="宋体" w:hAnsi="宋体" w:eastAsia="宋体"/>
                <w:b/>
                <w:bCs/>
                <w:sz w:val="22"/>
              </w:rPr>
              <w:t>咨询电话</w:t>
            </w:r>
          </w:p>
        </w:tc>
        <w:tc>
          <w:tcPr>
            <w:tcW w:w="3077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default" w:ascii="Times New Roman" w:hAnsi="Times New Roman" w:eastAsia="仿宋_GB2312"/>
                <w:sz w:val="22"/>
                <w:lang w:val="en-US" w:eastAsia="zh-CN"/>
              </w:rPr>
              <w:t>0772-2821757</w:t>
            </w:r>
          </w:p>
        </w:tc>
        <w:tc>
          <w:tcPr>
            <w:tcW w:w="1122" w:type="dxa"/>
            <w:gridSpan w:val="3"/>
            <w:vAlign w:val="center"/>
          </w:tcPr>
          <w:p>
            <w:pPr>
              <w:rPr>
                <w:rFonts w:ascii="黑体" w:hAnsi="黑体" w:eastAsia="黑体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投诉电话</w:t>
            </w:r>
          </w:p>
        </w:tc>
        <w:tc>
          <w:tcPr>
            <w:tcW w:w="3354" w:type="dxa"/>
            <w:gridSpan w:val="2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default" w:ascii="Times New Roman" w:hAnsi="Times New Roman" w:eastAsia="仿宋_GB2312"/>
                <w:sz w:val="22"/>
                <w:lang w:val="en-US" w:eastAsia="zh-CN"/>
              </w:rPr>
              <w:t>0772-2811723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办理地址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  <w:lang w:val="en-US" w:eastAsia="zh-CN"/>
              </w:rPr>
              <w:t>柳州市城中区环江滨水大道城中区政务服务中心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受理窗口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  <w:lang w:val="en-US" w:eastAsia="zh-CN"/>
              </w:rPr>
              <w:t>6号窗社会事务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服务时间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  <w:lang w:val="en-US" w:eastAsia="zh-CN"/>
              </w:rPr>
              <w:t>工作日：上午9:00-12:00 下午13:00-16:00，法定节假日除外。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网上办理地址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bookmarkStart w:id="1" w:name="_GoBack"/>
            <w:r>
              <w:rPr>
                <w:rFonts w:hint="default" w:ascii="Times New Roman" w:hAnsi="Times New Roman" w:eastAsia="仿宋_GB2312"/>
                <w:sz w:val="22"/>
                <w:lang w:val="en-US" w:eastAsia="zh-CN"/>
              </w:rPr>
              <w:t>http://lzcz.zwfw.gxzf.gov.cn/</w:t>
            </w:r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受理条件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numPr>
                <w:ilvl w:val="0"/>
                <w:numId w:val="1"/>
              </w:num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根据《中华人民共和国公司法》第二十三条 设立有限责任公司，应当具备下列条件(一)股东符合法定人数；(二)有符合公司章程规定的全体股东认缴的出资额；(三)股东共同制定公司章程；(四)有公司名称，建立符合有限责任公司要求的组织机构；(五)有公司住所。</w:t>
            </w:r>
          </w:p>
          <w:p>
            <w:pPr>
              <w:numPr>
                <w:ilvl w:val="0"/>
                <w:numId w:val="1"/>
              </w:num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根据《娱乐场所管理办法》第七条 设立娱乐场所，应当符合以下条件：（一）有与其经营活动相适应的设施设备，提供的文化产品内容应当符合文化产品生产、出版、进口的规定；（二）歌舞娱乐场所消费者人均占有使用面积不得低于1.5平方米（农村地区除外），游艺娱乐场所的使用面积不少于200平方米，使用面积不包括办公、仓储等非营业性区域；（三）符合国家治安管理、消防安全、环境噪声等相关规定；（四）法律、法规和规章规定的其他条件。 二、歌舞娱乐场所、游艺娱乐场所不得设立在下列地点：</w:t>
            </w:r>
            <w:r>
              <w:rPr>
                <w:rFonts w:hint="eastAsia" w:ascii="Times New Roman" w:hAnsi="Times New Roman" w:eastAsia="仿宋_GB2312"/>
                <w:sz w:val="22"/>
              </w:rPr>
              <w:br/>
            </w:r>
            <w:r>
              <w:rPr>
                <w:rFonts w:hint="eastAsia" w:ascii="Times New Roman" w:hAnsi="Times New Roman" w:eastAsia="仿宋_GB2312"/>
                <w:sz w:val="22"/>
              </w:rPr>
              <w:t>1.房屋规划、设计、使用用途中含有住宅；</w:t>
            </w:r>
            <w:r>
              <w:rPr>
                <w:rFonts w:hint="eastAsia" w:ascii="Times New Roman" w:hAnsi="Times New Roman" w:eastAsia="仿宋_GB2312"/>
                <w:sz w:val="22"/>
              </w:rPr>
              <w:br/>
            </w:r>
            <w:r>
              <w:rPr>
                <w:rFonts w:hint="eastAsia" w:ascii="Times New Roman" w:hAnsi="Times New Roman" w:eastAsia="仿宋_GB2312"/>
                <w:sz w:val="22"/>
              </w:rPr>
              <w:t>2.博物馆、图书馆和被核定为文物保护单位的建筑物内；</w:t>
            </w:r>
            <w:r>
              <w:rPr>
                <w:rFonts w:hint="eastAsia" w:ascii="Times New Roman" w:hAnsi="Times New Roman" w:eastAsia="仿宋_GB2312"/>
                <w:sz w:val="22"/>
              </w:rPr>
              <w:br/>
            </w:r>
            <w:r>
              <w:rPr>
                <w:rFonts w:hint="eastAsia" w:ascii="Times New Roman" w:hAnsi="Times New Roman" w:eastAsia="仿宋_GB2312"/>
                <w:sz w:val="22"/>
              </w:rPr>
              <w:t>3.居民住宅区；</w:t>
            </w:r>
            <w:r>
              <w:rPr>
                <w:rFonts w:hint="eastAsia" w:ascii="Times New Roman" w:hAnsi="Times New Roman" w:eastAsia="仿宋_GB2312"/>
                <w:sz w:val="22"/>
              </w:rPr>
              <w:br/>
            </w:r>
            <w:r>
              <w:rPr>
                <w:rFonts w:hint="eastAsia" w:ascii="Times New Roman" w:hAnsi="Times New Roman" w:eastAsia="仿宋_GB2312"/>
                <w:sz w:val="22"/>
              </w:rPr>
              <w:t>4.教育法规定的中小学校周围；</w:t>
            </w:r>
            <w:r>
              <w:rPr>
                <w:rFonts w:hint="eastAsia" w:ascii="Times New Roman" w:hAnsi="Times New Roman" w:eastAsia="仿宋_GB2312"/>
                <w:sz w:val="22"/>
              </w:rPr>
              <w:br/>
            </w:r>
            <w:r>
              <w:rPr>
                <w:rFonts w:hint="eastAsia" w:ascii="Times New Roman" w:hAnsi="Times New Roman" w:eastAsia="仿宋_GB2312"/>
                <w:sz w:val="22"/>
              </w:rPr>
              <w:t>5.依照《医疗机构管理条例》及实施细则规定取得《医疗机构执业许可证》的医院周围；</w:t>
            </w:r>
            <w:r>
              <w:rPr>
                <w:rFonts w:hint="eastAsia" w:ascii="Times New Roman" w:hAnsi="Times New Roman" w:eastAsia="仿宋_GB2312"/>
                <w:sz w:val="22"/>
              </w:rPr>
              <w:br/>
            </w:r>
            <w:r>
              <w:rPr>
                <w:rFonts w:hint="eastAsia" w:ascii="Times New Roman" w:hAnsi="Times New Roman" w:eastAsia="仿宋_GB2312"/>
                <w:sz w:val="22"/>
              </w:rPr>
              <w:t>6.各级中国共产党委员会及其所属各工作部门、各级人民代表大会机关、各级人民政府及其所属各工作部门、各级政治协商会议机关、各级人民法院、检察院机关、各级民主党派机关周围；</w:t>
            </w:r>
            <w:r>
              <w:rPr>
                <w:rFonts w:hint="eastAsia" w:ascii="Times New Roman" w:hAnsi="Times New Roman" w:eastAsia="仿宋_GB2312"/>
                <w:sz w:val="22"/>
              </w:rPr>
              <w:br/>
            </w:r>
            <w:r>
              <w:rPr>
                <w:rFonts w:hint="eastAsia" w:ascii="Times New Roman" w:hAnsi="Times New Roman" w:eastAsia="仿宋_GB2312"/>
                <w:sz w:val="22"/>
              </w:rPr>
              <w:t>7.车站、机场等人群密集的场所；</w:t>
            </w:r>
            <w:r>
              <w:rPr>
                <w:rFonts w:hint="eastAsia" w:ascii="Times New Roman" w:hAnsi="Times New Roman" w:eastAsia="仿宋_GB2312"/>
                <w:sz w:val="22"/>
              </w:rPr>
              <w:br/>
            </w:r>
            <w:r>
              <w:rPr>
                <w:rFonts w:hint="eastAsia" w:ascii="Times New Roman" w:hAnsi="Times New Roman" w:eastAsia="仿宋_GB2312"/>
                <w:sz w:val="22"/>
              </w:rPr>
              <w:t>8.建筑物地下一层以下（不含地下一层）；</w:t>
            </w:r>
            <w:r>
              <w:rPr>
                <w:rFonts w:hint="eastAsia" w:ascii="Times New Roman" w:hAnsi="Times New Roman" w:eastAsia="仿宋_GB2312"/>
                <w:sz w:val="22"/>
              </w:rPr>
              <w:br/>
            </w:r>
            <w:r>
              <w:rPr>
                <w:rFonts w:hint="eastAsia" w:ascii="Times New Roman" w:hAnsi="Times New Roman" w:eastAsia="仿宋_GB2312"/>
                <w:sz w:val="22"/>
              </w:rPr>
              <w:t>9.与危险化学品仓库毗连的区域，与危险化学品仓库的距离必须符合《危险化学品安全管理条例》的有关规定。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结果领取方式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现场领取或者邮寄方式领取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收费情况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特殊程序</w:t>
            </w:r>
          </w:p>
        </w:tc>
        <w:tc>
          <w:tcPr>
            <w:tcW w:w="7553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1" w:type="dxa"/>
            <w:gridSpan w:val="10"/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二、申请材料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序号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事项名称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原始材料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已关联</w:t>
            </w:r>
          </w:p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电子证照名称</w:t>
            </w:r>
          </w:p>
        </w:tc>
        <w:tc>
          <w:tcPr>
            <w:tcW w:w="1723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共性材料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企业开办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1</w:t>
            </w:r>
            <w: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  <w:t>.</w:t>
            </w:r>
            <w:r>
              <w:rPr>
                <w:rFonts w:hint="eastAsia" w:ascii="仿宋" w:hAnsi="仿宋" w:eastAsia="仿宋"/>
                <w:szCs w:val="21"/>
              </w:rPr>
              <w:t>《我要开游乐场“一件事”套餐申请表》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营业执照</w:t>
            </w:r>
          </w:p>
        </w:tc>
        <w:tc>
          <w:tcPr>
            <w:tcW w:w="1723" w:type="dxa"/>
            <w:vMerge w:val="restart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1</w:t>
            </w:r>
            <w: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  <w:t>.</w:t>
            </w:r>
            <w:r>
              <w:rPr>
                <w:rFonts w:hint="eastAsia" w:ascii="仿宋" w:hAnsi="仿宋" w:eastAsia="仿宋"/>
                <w:szCs w:val="21"/>
              </w:rPr>
              <w:t>《我要开游乐场“一件事”套餐申请表》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小餐饮登记(新办)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仿宋" w:hAnsi="仿宋" w:eastAsia="仿宋"/>
                <w:szCs w:val="21"/>
              </w:rPr>
              <w:t>2.从业人员有效健康证明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小餐饮登记证</w:t>
            </w:r>
          </w:p>
        </w:tc>
        <w:tc>
          <w:tcPr>
            <w:tcW w:w="1723" w:type="dxa"/>
            <w:vMerge w:val="continue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特殊情形</w:t>
            </w:r>
          </w:p>
        </w:tc>
        <w:tc>
          <w:tcPr>
            <w:tcW w:w="2796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法人委托人代办</w:t>
            </w:r>
          </w:p>
        </w:tc>
        <w:tc>
          <w:tcPr>
            <w:tcW w:w="1262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sz w:val="22"/>
              </w:rPr>
              <w:t>情形材料</w:t>
            </w:r>
          </w:p>
        </w:tc>
        <w:tc>
          <w:tcPr>
            <w:tcW w:w="3495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hint="eastAsia" w:ascii="Times New Roman" w:hAnsi="Times New Roman" w:eastAsia="仿宋_GB2312"/>
                <w:sz w:val="22"/>
              </w:rPr>
              <w:t>法人授权委托材料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11" w:type="dxa"/>
            <w:gridSpan w:val="10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三、办理流程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8" w:hRule="atLeast"/>
        </w:trPr>
        <w:tc>
          <w:tcPr>
            <w:tcW w:w="8811" w:type="dxa"/>
            <w:gridSpan w:val="10"/>
            <w:vAlign w:val="center"/>
          </w:tcPr>
          <w:p>
            <w:pPr>
              <w:suppressAutoHyphens/>
              <w:spacing w:line="500" w:lineRule="exact"/>
              <w:jc w:val="center"/>
              <w:rPr>
                <w:rFonts w:ascii="Times New Roman" w:hAnsi="Times New Roman" w:eastAsia="方正小标宋_GBK"/>
                <w:kern w:val="0"/>
                <w:sz w:val="44"/>
                <w:szCs w:val="44"/>
              </w:rPr>
            </w:pPr>
          </w:p>
          <w:p>
            <w:pPr>
              <w:suppressAutoHyphens/>
              <w:spacing w:line="500" w:lineRule="exact"/>
              <w:jc w:val="center"/>
              <w:rPr>
                <w:rFonts w:ascii="Times New Roman" w:hAnsi="Times New Roman" w:eastAsia="方正小标宋_GBK"/>
                <w:kern w:val="0"/>
                <w:sz w:val="44"/>
                <w:szCs w:val="44"/>
              </w:rPr>
            </w:pPr>
            <w:r>
              <w:rPr>
                <w:rFonts w:hint="eastAsia" w:ascii="Times New Roman" w:hAnsi="Times New Roman" w:eastAsia="方正小标宋_GBK"/>
                <w:kern w:val="0"/>
                <w:sz w:val="44"/>
                <w:szCs w:val="44"/>
              </w:rPr>
              <w:t>我要我要开农家乐休闲山庄</w:t>
            </w:r>
          </w:p>
          <w:p>
            <w:pPr>
              <w:suppressAutoHyphens/>
              <w:spacing w:line="500" w:lineRule="exact"/>
              <w:jc w:val="center"/>
              <w:rPr>
                <w:rFonts w:ascii="Times New Roman" w:hAnsi="Times New Roman" w:eastAsia="方正小标宋_GBK" w:cs="方正小标宋_GBK"/>
                <w:bCs/>
                <w:kern w:val="0"/>
                <w:sz w:val="44"/>
                <w:szCs w:val="44"/>
              </w:rPr>
            </w:pPr>
            <w:r>
              <w:rPr>
                <w:rFonts w:ascii="Times New Roman" w:hAnsi="Times New Roman" w:eastAsia="方正小标宋_GBK"/>
                <w:kern w:val="0"/>
                <w:sz w:val="44"/>
                <w:szCs w:val="44"/>
              </w:rPr>
              <w:t>“一件事”套餐</w:t>
            </w:r>
            <w:r>
              <w:rPr>
                <w:rFonts w:hint="eastAsia" w:ascii="Times New Roman" w:hAnsi="Times New Roman" w:eastAsia="方正小标宋_GBK" w:cs="方正小标宋_GBK"/>
                <w:bCs/>
                <w:kern w:val="0"/>
                <w:sz w:val="44"/>
                <w:szCs w:val="44"/>
              </w:rPr>
              <w:t>流程图</w:t>
            </w:r>
          </w:p>
          <w:p>
            <w:pPr>
              <w:suppressAutoHyphens/>
              <w:spacing w:line="380" w:lineRule="exact"/>
              <w:jc w:val="center"/>
              <w:rPr>
                <w:rFonts w:ascii="Times New Roman" w:hAnsi="Times New Roman" w:eastAsia="方正楷体_GBK"/>
                <w:bCs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楷体_GBK"/>
                <w:bCs/>
                <w:kern w:val="0"/>
                <w:sz w:val="32"/>
                <w:szCs w:val="32"/>
              </w:rPr>
              <w:t>（联办</w:t>
            </w:r>
            <w:r>
              <w:rPr>
                <w:rFonts w:hint="eastAsia" w:ascii="Times New Roman" w:hAnsi="Times New Roman" w:eastAsia="方正楷体_GBK"/>
                <w:bCs/>
                <w:kern w:val="0"/>
                <w:sz w:val="32"/>
                <w:szCs w:val="32"/>
              </w:rPr>
              <w:t>承诺办结</w:t>
            </w:r>
            <w:r>
              <w:rPr>
                <w:rFonts w:ascii="Times New Roman" w:hAnsi="Times New Roman" w:eastAsia="方正楷体_GBK"/>
                <w:bCs/>
                <w:kern w:val="0"/>
                <w:sz w:val="32"/>
                <w:szCs w:val="32"/>
              </w:rPr>
              <w:t>时限：</w:t>
            </w:r>
            <w:r>
              <w:rPr>
                <w:rFonts w:hint="eastAsia" w:ascii="Times New Roman" w:hAnsi="Times New Roman" w:eastAsia="方正楷体_GBK"/>
                <w:bCs/>
                <w:kern w:val="0"/>
                <w:sz w:val="32"/>
                <w:szCs w:val="32"/>
                <w:lang w:val="en-US" w:eastAsia="zh-CN"/>
              </w:rPr>
              <w:t>5</w:t>
            </w:r>
            <w:r>
              <w:rPr>
                <w:rFonts w:ascii="Times New Roman" w:hAnsi="Times New Roman" w:eastAsia="方正楷体_GBK"/>
                <w:bCs/>
                <w:kern w:val="0"/>
                <w:sz w:val="32"/>
                <w:szCs w:val="32"/>
              </w:rPr>
              <w:t>个工作日</w:t>
            </w:r>
            <w:r>
              <w:rPr>
                <w:rFonts w:hint="eastAsia" w:ascii="Times New Roman" w:hAnsi="Times New Roman" w:eastAsia="方正楷体_GBK"/>
                <w:bCs/>
                <w:kern w:val="0"/>
                <w:sz w:val="32"/>
                <w:szCs w:val="32"/>
              </w:rPr>
              <w:t>，只需跑一次</w:t>
            </w:r>
            <w:r>
              <w:rPr>
                <w:rFonts w:ascii="Times New Roman" w:hAnsi="Times New Roman" w:eastAsia="方正楷体_GBK"/>
                <w:bCs/>
                <w:kern w:val="0"/>
                <w:sz w:val="32"/>
                <w:szCs w:val="32"/>
              </w:rPr>
              <w:t>）</w:t>
            </w:r>
          </w:p>
          <w:p>
            <w:pPr>
              <w:suppressAutoHyphens/>
              <w:spacing w:line="380" w:lineRule="exact"/>
              <w:ind w:firstLine="420"/>
              <w:jc w:val="left"/>
              <w:rPr>
                <w:rFonts w:ascii="Times New Roman" w:hAnsi="Times New Roman" w:eastAsia="方正小标宋简体"/>
                <w:bCs/>
                <w:kern w:val="0"/>
                <w:sz w:val="32"/>
                <w:szCs w:val="32"/>
              </w:rPr>
            </w:pPr>
          </w:p>
          <w:tbl>
            <w:tblPr>
              <w:tblStyle w:val="7"/>
              <w:tblW w:w="791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91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5" w:hRule="atLeast"/>
              </w:trPr>
              <w:tc>
                <w:tcPr>
                  <w:tcW w:w="7915" w:type="dxa"/>
                  <w:vAlign w:val="top"/>
                </w:tcPr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Quad Arrow 120" o:spid="_x0000_s1026" type="#_x0000_t202" style="position:absolute;left:0;margin-left:-7.05pt;margin-top:11pt;height:101.95pt;width:30.75pt;rotation:0f;z-index:251666432;" o:ole="f" fillcolor="#FFFFFF" filled="t" o:preferrelative="t" stroked="t" coordorigin="0,0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36"/>
                                </w:rPr>
                                <w:t>前台综合收件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Quad Arrow 111" o:spid="_x0000_s1027" type="#_x0000_t202" style="position:absolute;left:0;margin-left:118.35pt;margin-top:4.6pt;height:33pt;width:186.75pt;rotation:0f;z-index:251658240;" o:ole="f" fillcolor="#FFFFFF" filled="t" o:preferrelative="t" stroked="t" coordorigin="0,0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申请人提出申请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Line 116" o:spid="_x0000_s1028" style="position:absolute;left:0;flip:y;margin-left:92.85pt;margin-top:170.35pt;height:1.5pt;width:252.75pt;rotation:0f;z-index:251662336;" o:ole="f" fillcolor="#FFFFFF" filled="f" o:preferrelative="t" stroked="t" coordsize="21600,21600">
                        <v:fill on="f" color2="#FFFFFF" focus="0%"/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Line 117" o:spid="_x0000_s1029" style="position:absolute;left:0;flip:x;margin-left:93pt;margin-top:171.85pt;height:27.5pt;width:0.6pt;rotation:0f;z-index:251663360;" o:ole="f" fillcolor="#FFFFFF" filled="f" o:preferrelative="t" stroked="t" coordsize="21600,21600">
                        <v:fill on="f" color2="#FFFFFF" focus="0%"/>
                        <v:stroke color="#000000" color2="#FFFFFF" miterlimit="2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Line 122" o:spid="_x0000_s1030" style="position:absolute;left:0;flip:y;margin-left:92.1pt;margin-top:310.6pt;height:1.5pt;width:252.75pt;rotation:0f;z-index:251668480;" o:ole="f" fillcolor="#FFFFFF" filled="f" o:preferrelative="t" stroked="t" coordsize="21600,21600">
                        <v:fill on="f" color2="#FFFFFF" focus="0%"/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Line 121" o:spid="_x0000_s1031" style="position:absolute;left:0;margin-left:212.85pt;margin-top:18.55pt;height:32.3pt;width:0.8pt;rotation:0f;z-index:251667456;" o:ole="f" fillcolor="#FFFFFF" filled="f" o:preferrelative="t" stroked="t" coordsize="21600,21600">
                        <v:fill on="f" color2="#FFFFFF" focus="0%"/>
                        <v:stroke color="#000000" color2="#FFFFFF" miterlimit="2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Quad Arrow 128" o:spid="_x0000_s1032" type="#_x0000_t202" style="position:absolute;left:0;margin-left:298.1pt;margin-top:17pt;height:40.5pt;width:48pt;rotation:0f;z-index:251674624;" o:ole="f" fillcolor="#FFFFFF" filled="f" o:preferrelative="t" stroked="f" coordorigin="0,0" coordsize="21600,21600">
                        <v:fill on="f" color2="#FFFFFF" focus="0%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材料不合格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Quad Arrow 126" o:spid="_x0000_s1033" type="#_x0000_t202" style="position:absolute;left:0;margin-left:343.6pt;margin-top:17.1pt;height:51.55pt;width:87.75pt;rotation:0f;z-index:251672576;" o:ole="f" fillcolor="#FFFFFF" filled="t" o:preferrelative="t" stroked="t" coordorigin="0,0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一次性告知需补正的内容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Quad Arrow 112" o:spid="_x0000_s1034" type="#_x0000_t202" style="position:absolute;left:0;margin-left:119.85pt;margin-top:13pt;height:53.85pt;width:185pt;rotation:0f;z-index:251659264;" o:ole="f" fillcolor="#FFFFFF" filled="t" o:preferrelative="t" stroked="t" coordorigin="0,0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color w:val="auto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color w:val="auto"/>
                                  <w:sz w:val="28"/>
                                  <w:szCs w:val="28"/>
                                  <w:lang w:eastAsia="zh-CN"/>
                                </w:rPr>
                                <w:t>社会事务</w:t>
                              </w: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color w:val="auto"/>
                                  <w:sz w:val="28"/>
                                  <w:szCs w:val="28"/>
                                </w:rPr>
                                <w:t>窗口</w:t>
                              </w: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Line 127" o:spid="_x0000_s1035" style="position:absolute;left:0;flip:y;margin-left:305.2pt;margin-top:2.2pt;height:1pt;width:32.65pt;rotation:0f;z-index:251673600;" o:ole="f" fillcolor="#FFFFFF" filled="f" o:preferrelative="t" stroked="t" coordsize="21600,21600">
                        <v:fill on="f" color2="#FFFFFF" focus="0%"/>
                        <v:stroke color="#000000" color2="#FFFFFF" miterlimit="2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Line 115" o:spid="_x0000_s1036" style="position:absolute;left:0;margin-left:213.6pt;margin-top:10pt;height:46.05pt;width:0.05pt;rotation:0f;z-index:251661312;" o:ole="f" fillcolor="#FFFFFF" filled="f" o:preferrelative="t" stroked="t" coordsize="21600,21600">
                        <v:fill on="f" color2="#FFFFFF" focus="0%"/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Quad Arrow 118" o:spid="_x0000_s1037" type="#_x0000_t202" style="position:absolute;left:0;margin-left:194.6pt;margin-top:8.75pt;height:37.45pt;width:133pt;rotation:0f;z-index:251664384;" o:ole="f" fillcolor="#FFFFFF" filled="f" o:preferrelative="t" stroked="t" coordorigin="0,0" coordsize="21600,21600">
                        <v:fill on="f" color2="#FFFFFF" focus="0%"/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材料合格</w:t>
                              </w: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</w:rPr>
                                <w:t>后台分类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Line 119" o:spid="_x0000_s1038" style="position:absolute;left:0;flip:y;margin-left:-7.05pt;margin-top:5.45pt;height:1pt;width:445.4pt;rotation:0f;z-index:251665408;" o:ole="f" fillcolor="#FFFFFF" filled="f" o:preferrelative="t" stroked="t" coordsize="21600,21600">
                        <v:fill on="f" color2="#FFFFFF" focus="0%"/>
                        <v:stroke weight="1.25pt" color="#000000" color2="#FFFFFF" miterlimit="2" dashstyle="dash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Quad Arrow 136" o:spid="_x0000_s1039" type="#_x0000_t202" style="position:absolute;left:0;margin-left:254.25pt;margin-top:33.7pt;height:69.75pt;width:91.35pt;rotation:0f;z-index:251680768;" o:ole="f" fillcolor="#FFFFFF" filled="t" o:preferrelative="t" stroked="t" coordorigin="0,0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eastAsia="zh-CN"/>
                                </w:rPr>
                                <w:t>城中区</w:t>
                              </w: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市场监督管理局后台审批</w:t>
                              </w:r>
                            </w:p>
                            <w:p/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Line 135" o:spid="_x0000_s1040" style="position:absolute;left:0;flip:x;margin-left:345.75pt;margin-top:0.1pt;height:27.5pt;width:0.6pt;rotation:0f;z-index:251679744;" o:ole="f" fillcolor="#FFFFFF" filled="f" o:preferrelative="t" stroked="t" coordsize="21600,21600">
                        <v:fill on="f" color2="#FFFFFF" focus="0%"/>
                        <v:stroke color="#000000" color2="#FFFFFF" miterlimit="2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Quad Arrow 130" o:spid="_x0000_s1041" type="#_x0000_t202" style="position:absolute;left:0;margin-left:-7pt;margin-top:18.5pt;height:101.95pt;width:30.75pt;rotation:0f;z-index:251676672;" o:ole="f" fillcolor="#FFFFFF" filled="t" o:preferrelative="t" stroked="t" coordorigin="0,0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后台分类审批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Quad Arrow 113" o:spid="_x0000_s1042" type="#_x0000_t202" style="position:absolute;left:0;margin-left:62.5pt;margin-top:14.7pt;height:71.2pt;width:108.25pt;rotation:0f;z-index:251660288;" o:ole="f" fillcolor="#FFFFFF" filled="t" o:preferrelative="t" stroked="t" coordorigin="0,0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  <w:lang w:eastAsia="zh-CN"/>
                                </w:rPr>
                                <w:t>城中区企业开办综合窗</w:t>
                              </w: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后台审批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Line 124" o:spid="_x0000_s1043" style="position:absolute;left:0;flip:x;margin-left:343.4pt;margin-top:6.15pt;height:39.45pt;width:0.05pt;rotation:0f;z-index:251670528;" o:ole="f" fillcolor="#FFFFFF" filled="f" o:preferrelative="t" stroked="t" coordsize="21600,21600">
                        <v:fill on="f" color2="#FFFFFF" focus="0%"/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Line 123" o:spid="_x0000_s1044" style="position:absolute;left:0;flip:x;margin-left:93.1pt;margin-top:7.85pt;height:37.1pt;width:0.25pt;rotation:0f;z-index:251669504;" o:ole="f" fillcolor="#FFFFFF" filled="f" o:preferrelative="t" stroked="t" coordsize="21600,21600">
                        <v:fill on="f" color2="#FFFFFF" focus="0%"/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Line 125" o:spid="_x0000_s1045" style="position:absolute;left:0;margin-left:219.6pt;margin-top:7.25pt;height:74.25pt;width:0.75pt;rotation:0f;z-index:251671552;" o:ole="f" fillcolor="#FFFFFF" filled="f" o:preferrelative="t" stroked="t" coordsize="21600,21600">
                        <v:fill on="f" color2="#FFFFFF" focus="0%"/>
                        <v:stroke color="#000000" color2="#FFFFFF" miterlimit="2" endarrow="open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line id="Line 129" o:spid="_x0000_s1046" style="position:absolute;left:0;flip:y;margin-left:-5.35pt;margin-top:8.85pt;height:2.35pt;width:444.55pt;rotation:0f;z-index:251675648;" o:ole="f" fillcolor="#FFFFFF" filled="f" o:preferrelative="t" stroked="t" coordsize="21600,21600">
                        <v:fill on="f" color2="#FFFFFF" focus="0%"/>
                        <v:stroke weight="1.25pt" color="#000000" color2="#FFFFFF" miterlimit="2" dashstyle="dash"/>
                        <v:imagedata gain="65536f" blacklevel="0f" gamma="0"/>
                        <o:lock v:ext="edit" position="f" selection="f" grouping="f" rotation="f" cropping="f" text="f" aspectratio="f"/>
                      </v:lin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Quad Arrow 132" o:spid="_x0000_s1047" type="#_x0000_t202" style="position:absolute;left:0;margin-left:-7.2pt;margin-top:12.05pt;height:101.95pt;width:30.75pt;rotation:0f;z-index:251678720;" o:ole="f" fillcolor="#FFFFFF" filled="t" o:preferrelative="t" stroked="t" coordorigin="0,0" coordsize="21600,21600">
                        <v:stroke color="#FFFFFF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统一窗口出件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等线" w:cs="黑体"/>
                      <w:kern w:val="0"/>
                      <w:sz w:val="28"/>
                      <w:szCs w:val="28"/>
                      <w:lang w:val="en-US" w:eastAsia="zh-CN" w:bidi="ar-SA"/>
                    </w:rPr>
                    <w:pict>
                      <v:shape id="Quad Arrow 131" o:spid="_x0000_s1048" type="#_x0000_t202" style="position:absolute;left:0;margin-left:122.85pt;margin-top:7.1pt;height:39.75pt;width:186.75pt;rotation:0f;z-index:251677696;" o:ole="f" fillcolor="#FFFFFF" filled="t" o:preferrelative="t" stroked="t" coordorigin="0,0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方正仿宋_GBK" w:hAnsi="方正仿宋_GBK" w:eastAsia="方正仿宋_GBK" w:cs="方正仿宋_GBK"/>
                                  <w:sz w:val="28"/>
                                  <w:szCs w:val="28"/>
                                </w:rPr>
                                <w:t>审批结果统一出件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  <w:p>
                  <w:pPr>
                    <w:suppressAutoHyphens/>
                    <w:spacing w:line="380" w:lineRule="exact"/>
                    <w:ind w:left="420"/>
                    <w:jc w:val="left"/>
                    <w:rPr>
                      <w:rFonts w:ascii="Times New Roman" w:hAnsi="Times New Roman" w:eastAsia="方正小标宋简体"/>
                      <w:bCs/>
                      <w:kern w:val="0"/>
                      <w:sz w:val="28"/>
                      <w:szCs w:val="28"/>
                    </w:rPr>
                  </w:pPr>
                </w:p>
              </w:tc>
            </w:tr>
          </w:tbl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</w:tr>
    </w:tbl>
    <w:p>
      <w:pPr>
        <w:ind w:firstLine="640" w:firstLineChars="200"/>
        <w:rPr>
          <w:rFonts w:ascii="Times New Roman" w:hAnsi="Times New Roman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445602622">
    <w:nsid w:val="1A8F5B3E"/>
    <w:multiLevelType w:val="singleLevel"/>
    <w:tmpl w:val="1A8F5B3E"/>
    <w:lvl w:ilvl="0" w:tentative="1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456026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B84AB0"/>
    <w:rsid w:val="000155FF"/>
    <w:rsid w:val="00111555"/>
    <w:rsid w:val="00124245"/>
    <w:rsid w:val="00172E61"/>
    <w:rsid w:val="001B64C4"/>
    <w:rsid w:val="001E4BB4"/>
    <w:rsid w:val="00230C9C"/>
    <w:rsid w:val="0030157D"/>
    <w:rsid w:val="0038372F"/>
    <w:rsid w:val="00397704"/>
    <w:rsid w:val="003E1EEC"/>
    <w:rsid w:val="003E2B47"/>
    <w:rsid w:val="003F5812"/>
    <w:rsid w:val="004F5ABD"/>
    <w:rsid w:val="0054072E"/>
    <w:rsid w:val="005D4E66"/>
    <w:rsid w:val="005E5BE1"/>
    <w:rsid w:val="006149C1"/>
    <w:rsid w:val="00623E02"/>
    <w:rsid w:val="0069423D"/>
    <w:rsid w:val="006B569B"/>
    <w:rsid w:val="00751D07"/>
    <w:rsid w:val="007A6BB3"/>
    <w:rsid w:val="007D1C67"/>
    <w:rsid w:val="007D1E81"/>
    <w:rsid w:val="007E02FD"/>
    <w:rsid w:val="00862318"/>
    <w:rsid w:val="008E3604"/>
    <w:rsid w:val="00931848"/>
    <w:rsid w:val="0095105B"/>
    <w:rsid w:val="009D011B"/>
    <w:rsid w:val="00A90281"/>
    <w:rsid w:val="00AA0726"/>
    <w:rsid w:val="00AE26A1"/>
    <w:rsid w:val="00AF641A"/>
    <w:rsid w:val="00B21AAA"/>
    <w:rsid w:val="00B26C4F"/>
    <w:rsid w:val="00B345DF"/>
    <w:rsid w:val="00B77FDE"/>
    <w:rsid w:val="00B84AB0"/>
    <w:rsid w:val="00BD2B06"/>
    <w:rsid w:val="00C202CC"/>
    <w:rsid w:val="00C24BCC"/>
    <w:rsid w:val="00C8031B"/>
    <w:rsid w:val="00CA2900"/>
    <w:rsid w:val="00CB0200"/>
    <w:rsid w:val="00D64F30"/>
    <w:rsid w:val="00D74722"/>
    <w:rsid w:val="00DA312A"/>
    <w:rsid w:val="00DD4791"/>
    <w:rsid w:val="00EF180A"/>
    <w:rsid w:val="00FA07DC"/>
    <w:rsid w:val="00FB03D5"/>
    <w:rsid w:val="00FB308D"/>
    <w:rsid w:val="084F4654"/>
    <w:rsid w:val="0B483390"/>
    <w:rsid w:val="12A65487"/>
    <w:rsid w:val="15342330"/>
    <w:rsid w:val="1D6C3FC6"/>
    <w:rsid w:val="20E07B8D"/>
    <w:rsid w:val="287D2ABA"/>
    <w:rsid w:val="3809318C"/>
    <w:rsid w:val="3EEA512F"/>
    <w:rsid w:val="42F078B0"/>
    <w:rsid w:val="43311790"/>
    <w:rsid w:val="501117D4"/>
    <w:rsid w:val="54762B97"/>
    <w:rsid w:val="596F1449"/>
    <w:rsid w:val="64895022"/>
    <w:rsid w:val="73D64ED3"/>
    <w:rsid w:val="740A226E"/>
    <w:rsid w:val="7C7F6B0B"/>
    <w:rsid w:val="7E0E08B5"/>
    <w:rsid w:val="7F230F1E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/>
      <w:u w:val="single"/>
    </w:rPr>
  </w:style>
  <w:style w:type="table" w:styleId="8">
    <w:name w:val="Table Grid"/>
    <w:basedOn w:val="7"/>
    <w:qFormat/>
    <w:uiPriority w:val="39"/>
    <w:pPr/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character" w:customStyle="1" w:styleId="9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1">
    <w:name w:val="Unresolved Mention"/>
    <w:basedOn w:val="5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222</Words>
  <Characters>1271</Characters>
  <Lines>10</Lines>
  <Paragraphs>2</Paragraphs>
  <ScaleCrop>false</ScaleCrop>
  <LinksUpToDate>false</LinksUpToDate>
  <CharactersWithSpaces>0</CharactersWithSpaces>
  <Application>WPS Office 专业版_9.1.0.4833_{F1E327BC-269C-435d-A152-05C5408002CA}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2021-04-20T02:28:00Z</dcterms:created>
  <dc:creator>Zhonghan Du</dc:creator>
  <cp:lastModifiedBy>政务服务监督管理办公室</cp:lastModifiedBy>
  <cp:lastPrinted>2021-04-22T01:29:00Z</cp:lastPrinted>
  <dcterms:modified xsi:type="dcterms:W3CDTF">2021-10-18T07:17:11Z</dcterms:modified>
  <dc:title>“一件事”套餐办事指南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2052-9.1.0.4833</vt:lpwstr>
  </property>
  <property fmtid="{D5CDD505-2E9C-101B-9397-08002B2CF9AE}" pid="3" name="ICV">
    <vt:lpwstr>33F5693C9695494C97F4668B461A1B0B</vt:lpwstr>
  </property>
</Properties>
</file>