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eastAsia="zh-CN"/>
        </w:rPr>
      </w:pPr>
      <w:bookmarkStart w:id="0" w:name="_GoBack"/>
      <w:bookmarkEnd w:id="0"/>
      <w:r>
        <w:rPr>
          <w:rFonts w:ascii="方正小标宋简体" w:hAnsi="方正小标宋简体" w:eastAsia="方正小标宋简体" w:cs="方正小标宋简体"/>
          <w:color w:val="auto"/>
          <w:sz w:val="44"/>
          <w:szCs w:val="44"/>
        </w:rPr>
        <w:t xml:space="preserve"> </w:t>
      </w:r>
      <w:r>
        <w:rPr>
          <w:rFonts w:hint="eastAsia" w:ascii="方正小标宋简体" w:hAnsi="方正小标宋简体" w:eastAsia="方正小标宋简体" w:cs="方正小标宋简体"/>
          <w:color w:val="auto"/>
          <w:sz w:val="44"/>
          <w:szCs w:val="44"/>
        </w:rPr>
        <w:t>“我要开特殊膳食食品专卖店”</w:t>
      </w:r>
      <w:r>
        <w:rPr>
          <w:rFonts w:hint="eastAsia" w:ascii="方正小标宋简体" w:hAnsi="方正小标宋简体" w:eastAsia="方正小标宋简体" w:cs="方正小标宋简体"/>
          <w:color w:val="auto"/>
          <w:sz w:val="44"/>
          <w:szCs w:val="44"/>
          <w:lang w:eastAsia="zh-CN"/>
        </w:rPr>
        <w:t>一件事套餐</w:t>
      </w:r>
    </w:p>
    <w:p>
      <w:pPr>
        <w:widowControl w:val="0"/>
        <w:wordWrap/>
        <w:adjustRightInd/>
        <w:snapToGrid/>
        <w:spacing w:line="560" w:lineRule="exact"/>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答疑手册</w:t>
      </w:r>
    </w:p>
    <w:p>
      <w:pPr>
        <w:widowControl w:val="0"/>
        <w:wordWrap/>
        <w:adjustRightInd/>
        <w:snapToGrid/>
        <w:spacing w:line="560" w:lineRule="exact"/>
        <w:jc w:val="center"/>
        <w:textAlignment w:val="auto"/>
        <w:rPr>
          <w:rFonts w:ascii="方正小标宋简体" w:hAnsi="方正小标宋简体" w:eastAsia="方正小标宋简体" w:cs="方正小标宋简体"/>
          <w:color w:val="auto"/>
          <w:sz w:val="44"/>
          <w:szCs w:val="44"/>
        </w:rPr>
      </w:pPr>
    </w:p>
    <w:p>
      <w:pPr>
        <w:widowControl w:val="0"/>
        <w:wordWrap/>
        <w:adjustRightInd/>
        <w:snapToGrid/>
        <w:spacing w:line="560" w:lineRule="exact"/>
        <w:ind w:firstLine="643" w:firstLineChars="200"/>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问题一：注册新公司需要什么资料？</w:t>
      </w:r>
    </w:p>
    <w:p>
      <w:pPr>
        <w:widowControl w:val="0"/>
        <w:wordWrap/>
        <w:adjustRightInd/>
        <w:snapToGrid/>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根据《中华人民共和国公司登记管理条例》第十八条　设立</w:t>
      </w:r>
      <w:r>
        <w:rPr>
          <w:color w:val="auto"/>
        </w:rPr>
        <w:fldChar w:fldCharType="begin"/>
      </w:r>
      <w:r>
        <w:rPr>
          <w:color w:val="auto"/>
        </w:rPr>
        <w:instrText xml:space="preserve"> HYPERLINK "http://www.64365.com/baike/yxzrgs/" \t "http://www.64365.com/tuwen/iplmb/_blank" \o "有限责任公司" </w:instrText>
      </w:r>
      <w:r>
        <w:rPr>
          <w:color w:val="auto"/>
        </w:rPr>
        <w:fldChar w:fldCharType="separate"/>
      </w:r>
      <w:r>
        <w:rPr>
          <w:rFonts w:hint="eastAsia" w:ascii="仿宋_GB2312" w:hAnsi="仿宋_GB2312" w:eastAsia="仿宋_GB2312" w:cs="仿宋_GB2312"/>
          <w:color w:val="auto"/>
          <w:sz w:val="32"/>
          <w:szCs w:val="32"/>
        </w:rPr>
        <w:t>有限责任公司</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，应当由全体股东指定的代表或者共同委托的</w:t>
      </w:r>
      <w:r>
        <w:rPr>
          <w:color w:val="auto"/>
        </w:rPr>
        <w:fldChar w:fldCharType="begin"/>
      </w:r>
      <w:r>
        <w:rPr>
          <w:color w:val="auto"/>
        </w:rPr>
        <w:instrText xml:space="preserve"> HYPERLINK "http://www.64365.com/baike/dl/" \t "http://www.64365.com/tuwen/iplmb/_blank" \o "代理" </w:instrText>
      </w:r>
      <w:r>
        <w:rPr>
          <w:color w:val="auto"/>
        </w:rPr>
        <w:fldChar w:fldCharType="separate"/>
      </w:r>
      <w:r>
        <w:rPr>
          <w:rFonts w:hint="eastAsia" w:ascii="仿宋_GB2312" w:hAnsi="仿宋_GB2312" w:eastAsia="仿宋_GB2312" w:cs="仿宋_GB2312"/>
          <w:color w:val="auto"/>
          <w:sz w:val="32"/>
          <w:szCs w:val="32"/>
        </w:rPr>
        <w:t>代理</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人向公司登记机关申请名称预先核准</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设立</w:t>
      </w:r>
      <w:r>
        <w:rPr>
          <w:color w:val="auto"/>
        </w:rPr>
        <w:fldChar w:fldCharType="begin"/>
      </w:r>
      <w:r>
        <w:rPr>
          <w:color w:val="auto"/>
        </w:rPr>
        <w:instrText xml:space="preserve"> HYPERLINK "http://www.64365.com/baike/gfyxgs/" \t "http://www.64365.com/tuwen/iplmb/_blank" \o "股份有限公司" </w:instrText>
      </w:r>
      <w:r>
        <w:rPr>
          <w:color w:val="auto"/>
        </w:rPr>
        <w:fldChar w:fldCharType="separate"/>
      </w:r>
      <w:r>
        <w:rPr>
          <w:rFonts w:hint="eastAsia" w:ascii="仿宋_GB2312" w:hAnsi="仿宋_GB2312" w:eastAsia="仿宋_GB2312" w:cs="仿宋_GB2312"/>
          <w:color w:val="auto"/>
          <w:sz w:val="32"/>
          <w:szCs w:val="32"/>
        </w:rPr>
        <w:t>股份有限公司</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，应当由全体发起人指定的代表或者共同委托的代理人向公司登记机关申请名称预先核准。</w:t>
      </w:r>
      <w:r>
        <w:rPr>
          <w:rFonts w:ascii="仿宋_GB2312" w:hAnsi="仿宋_GB2312" w:eastAsia="仿宋_GB2312" w:cs="仿宋_GB2312"/>
          <w:color w:val="auto"/>
          <w:sz w:val="32"/>
          <w:szCs w:val="32"/>
        </w:rPr>
        <w:br/>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申请名称预先核准，应当提交下列文件：</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一</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有限责任公司的全体股东或者股份有限公司的全体发起人签署的</w:t>
      </w:r>
      <w:r>
        <w:rPr>
          <w:color w:val="auto"/>
        </w:rPr>
        <w:fldChar w:fldCharType="begin"/>
      </w:r>
      <w:r>
        <w:rPr>
          <w:color w:val="auto"/>
        </w:rPr>
        <w:instrText xml:space="preserve"> HYPERLINK "http://www.64365.com/baike/gsmc/" \t "http://www.64365.com/tuwen/iplmb/_blank" \o "公司名称" </w:instrText>
      </w:r>
      <w:r>
        <w:rPr>
          <w:color w:val="auto"/>
        </w:rPr>
        <w:fldChar w:fldCharType="separate"/>
      </w:r>
      <w:r>
        <w:rPr>
          <w:rFonts w:hint="eastAsia" w:ascii="仿宋_GB2312" w:hAnsi="仿宋_GB2312" w:eastAsia="仿宋_GB2312" w:cs="仿宋_GB2312"/>
          <w:color w:val="auto"/>
          <w:sz w:val="32"/>
          <w:szCs w:val="32"/>
        </w:rPr>
        <w:t>公司名称</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预先核准申请书</w:t>
      </w:r>
      <w:r>
        <w:rPr>
          <w:rFonts w:ascii="仿宋_GB2312" w:hAnsi="仿宋_GB2312" w:eastAsia="仿宋_GB2312" w:cs="仿宋_GB2312"/>
          <w:color w:val="auto"/>
          <w:sz w:val="32"/>
          <w:szCs w:val="32"/>
        </w:rPr>
        <w:t>;</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二</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pacing w:val="-6"/>
          <w:sz w:val="32"/>
          <w:szCs w:val="32"/>
        </w:rPr>
        <w:t>全体股东或者发起人指定代表或者共同委托代理人的证明</w:t>
      </w:r>
      <w:r>
        <w:rPr>
          <w:rFonts w:ascii="仿宋_GB2312" w:hAnsi="仿宋_GB2312" w:eastAsia="仿宋_GB2312" w:cs="仿宋_GB2312"/>
          <w:color w:val="auto"/>
          <w:spacing w:val="-6"/>
          <w:sz w:val="32"/>
          <w:szCs w:val="32"/>
        </w:rPr>
        <w:t>;</w:t>
      </w:r>
      <w:r>
        <w:rPr>
          <w:rFonts w:ascii="仿宋_GB2312" w:hAnsi="仿宋_GB2312" w:eastAsia="仿宋_GB2312" w:cs="仿宋_GB2312"/>
          <w:color w:val="auto"/>
          <w:spacing w:val="-6"/>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三</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国家工商行政管理总局规定要求提交的其他文件。</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第二十条　设立有限责任公司，应当由全体股东指定的代表或者共同委托的代理人向公司登记机关申请设立登记。设立</w:t>
      </w:r>
      <w:r>
        <w:rPr>
          <w:color w:val="auto"/>
        </w:rPr>
        <w:fldChar w:fldCharType="begin"/>
      </w:r>
      <w:r>
        <w:rPr>
          <w:color w:val="auto"/>
        </w:rPr>
        <w:instrText xml:space="preserve"> HYPERLINK "http://www.64365.com/baike/gydzgs/" \t "http://www.64365.com/tuwen/iplmb/_blank" \o "国有独资公司" </w:instrText>
      </w:r>
      <w:r>
        <w:rPr>
          <w:color w:val="auto"/>
        </w:rPr>
        <w:fldChar w:fldCharType="separate"/>
      </w:r>
      <w:r>
        <w:rPr>
          <w:rFonts w:hint="eastAsia" w:ascii="仿宋_GB2312" w:hAnsi="仿宋_GB2312" w:eastAsia="仿宋_GB2312" w:cs="仿宋_GB2312"/>
          <w:color w:val="auto"/>
          <w:sz w:val="32"/>
          <w:szCs w:val="32"/>
        </w:rPr>
        <w:t>国有独资公司</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，应当由国务院或者地方人民政府授权的本级人民政府国有资产监督管理机构作为申请人，申请设立登记。法律、行政</w:t>
      </w:r>
      <w:r>
        <w:rPr>
          <w:color w:val="auto"/>
        </w:rPr>
        <w:fldChar w:fldCharType="begin"/>
      </w:r>
      <w:r>
        <w:rPr>
          <w:color w:val="auto"/>
        </w:rPr>
        <w:instrText xml:space="preserve"> HYPERLINK "http://www.64365.com/fagui/" \t "http://www.64365.com/tuwen/iplmb/_blank" \o "法规" </w:instrText>
      </w:r>
      <w:r>
        <w:rPr>
          <w:color w:val="auto"/>
        </w:rPr>
        <w:fldChar w:fldCharType="separate"/>
      </w:r>
      <w:r>
        <w:rPr>
          <w:rFonts w:hint="eastAsia" w:ascii="仿宋_GB2312" w:hAnsi="仿宋_GB2312" w:eastAsia="仿宋_GB2312" w:cs="仿宋_GB2312"/>
          <w:color w:val="auto"/>
          <w:sz w:val="32"/>
          <w:szCs w:val="32"/>
        </w:rPr>
        <w:t>法规</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或者国务院决定规定设立有限责任公司必须报经批准的，应当自批准之日起</w:t>
      </w:r>
      <w:r>
        <w:rPr>
          <w:rFonts w:ascii="仿宋_GB2312" w:hAnsi="仿宋_GB2312" w:eastAsia="仿宋_GB2312" w:cs="仿宋_GB2312"/>
          <w:color w:val="auto"/>
          <w:sz w:val="32"/>
          <w:szCs w:val="32"/>
        </w:rPr>
        <w:t>90</w:t>
      </w:r>
      <w:r>
        <w:rPr>
          <w:rFonts w:hint="eastAsia" w:ascii="仿宋_GB2312" w:hAnsi="仿宋_GB2312" w:eastAsia="仿宋_GB2312" w:cs="仿宋_GB2312"/>
          <w:color w:val="auto"/>
          <w:sz w:val="32"/>
          <w:szCs w:val="32"/>
        </w:rPr>
        <w:t>日内向公司登记机关申请设立登记</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逾期申请设立登记的，申请人应当报批准机关确认原批准文件的效力或者另行报批。</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申请设立有限责任公司，应当向公司登记机关提交下列文件：</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一</w:t>
      </w:r>
      <w:r>
        <w:rPr>
          <w:rFonts w:ascii="仿宋_GB2312" w:hAnsi="仿宋_GB2312" w:eastAsia="仿宋_GB2312" w:cs="仿宋_GB2312"/>
          <w:color w:val="auto"/>
          <w:sz w:val="32"/>
          <w:szCs w:val="32"/>
        </w:rPr>
        <w:t>)</w:t>
      </w:r>
      <w:r>
        <w:rPr>
          <w:color w:val="auto"/>
        </w:rPr>
        <w:fldChar w:fldCharType="begin"/>
      </w:r>
      <w:r>
        <w:rPr>
          <w:color w:val="auto"/>
        </w:rPr>
        <w:instrText xml:space="preserve"> HYPERLINK "http://www.64365.com/baike/gsf/" \t "http://www.64365.com/tuwen/iplmb/_blank" \o "公司法" </w:instrText>
      </w:r>
      <w:r>
        <w:rPr>
          <w:color w:val="auto"/>
        </w:rPr>
        <w:fldChar w:fldCharType="separate"/>
      </w:r>
      <w:r>
        <w:rPr>
          <w:rFonts w:hint="eastAsia" w:ascii="仿宋_GB2312" w:hAnsi="仿宋_GB2312" w:eastAsia="仿宋_GB2312" w:cs="仿宋_GB2312"/>
          <w:color w:val="auto"/>
          <w:sz w:val="32"/>
          <w:szCs w:val="32"/>
        </w:rPr>
        <w:t>公司法</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定代表人签署的设立登记申请书</w:t>
      </w:r>
      <w:r>
        <w:rPr>
          <w:rFonts w:ascii="仿宋_GB2312" w:hAnsi="仿宋_GB2312" w:eastAsia="仿宋_GB2312" w:cs="仿宋_GB2312"/>
          <w:color w:val="auto"/>
          <w:sz w:val="32"/>
          <w:szCs w:val="32"/>
        </w:rPr>
        <w:t>;</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二</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全体股东指定代表或者共同委托代理人的证明</w:t>
      </w:r>
      <w:r>
        <w:rPr>
          <w:rFonts w:ascii="仿宋_GB2312" w:hAnsi="仿宋_GB2312" w:eastAsia="仿宋_GB2312" w:cs="仿宋_GB2312"/>
          <w:color w:val="auto"/>
          <w:sz w:val="32"/>
          <w:szCs w:val="32"/>
        </w:rPr>
        <w:t>;</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三</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公司章程；</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四</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股东的主体资格证明或者自然人身份证明</w:t>
      </w:r>
      <w:r>
        <w:rPr>
          <w:rFonts w:ascii="仿宋_GB2312" w:hAnsi="仿宋_GB2312" w:eastAsia="仿宋_GB2312" w:cs="仿宋_GB2312"/>
          <w:color w:val="auto"/>
          <w:sz w:val="32"/>
          <w:szCs w:val="32"/>
        </w:rPr>
        <w:t>;</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五</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载明公司董事、监事、经理的姓名、住所的文件以及有关委派、选举或者聘用的证明</w:t>
      </w:r>
      <w:r>
        <w:rPr>
          <w:rFonts w:ascii="仿宋_GB2312" w:hAnsi="仿宋_GB2312" w:eastAsia="仿宋_GB2312" w:cs="仿宋_GB2312"/>
          <w:color w:val="auto"/>
          <w:sz w:val="32"/>
          <w:szCs w:val="32"/>
        </w:rPr>
        <w:t>;</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六</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公司法定代表人任职文件和身份证明</w:t>
      </w:r>
      <w:r>
        <w:rPr>
          <w:rFonts w:ascii="仿宋_GB2312" w:hAnsi="仿宋_GB2312" w:eastAsia="仿宋_GB2312" w:cs="仿宋_GB2312"/>
          <w:color w:val="auto"/>
          <w:sz w:val="32"/>
          <w:szCs w:val="32"/>
        </w:rPr>
        <w:t>;</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七</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企业名称预先核准通知书</w:t>
      </w:r>
      <w:r>
        <w:rPr>
          <w:rFonts w:ascii="仿宋_GB2312" w:hAnsi="仿宋_GB2312" w:eastAsia="仿宋_GB2312" w:cs="仿宋_GB2312"/>
          <w:color w:val="auto"/>
          <w:sz w:val="32"/>
          <w:szCs w:val="32"/>
        </w:rPr>
        <w:t>;</w:t>
      </w:r>
    </w:p>
    <w:p>
      <w:pPr>
        <w:widowControl w:val="0"/>
        <w:numPr>
          <w:numId w:val="0"/>
        </w:numPr>
        <w:wordWrap/>
        <w:adjustRightInd/>
        <w:snapToGrid/>
        <w:spacing w:line="560" w:lineRule="exact"/>
        <w:ind w:firstLine="640" w:firstLineChars="200"/>
        <w:textAlignment w:val="auto"/>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八</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公司住所证明</w:t>
      </w:r>
      <w:r>
        <w:rPr>
          <w:rFonts w:ascii="仿宋_GB2312" w:hAnsi="仿宋_GB2312" w:eastAsia="仿宋_GB2312" w:cs="仿宋_GB2312"/>
          <w:color w:val="auto"/>
          <w:sz w:val="32"/>
          <w:szCs w:val="32"/>
        </w:rPr>
        <w:t>;</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九</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国家工商行政管理总局规定要求提交的其他文件。</w:t>
      </w:r>
      <w:r>
        <w:rPr>
          <w:rFonts w:ascii="仿宋_GB2312" w:hAnsi="仿宋_GB2312" w:eastAsia="仿宋_GB2312" w:cs="仿宋_GB2312"/>
          <w:color w:val="auto"/>
          <w:sz w:val="32"/>
          <w:szCs w:val="32"/>
        </w:rPr>
        <w:br/>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法律、行政法规或者国务院决定规定设立有限责任公司必须报经批准的，还应当提交有关批准文件。</w:t>
      </w:r>
    </w:p>
    <w:p>
      <w:pPr>
        <w:widowControl w:val="0"/>
        <w:wordWrap/>
        <w:adjustRightInd/>
        <w:snapToGrid/>
        <w:spacing w:line="560" w:lineRule="exact"/>
        <w:textAlignment w:val="auto"/>
        <w:rPr>
          <w:rFonts w:ascii="仿宋_GB2312" w:hAnsi="仿宋_GB2312" w:eastAsia="仿宋_GB2312" w:cs="仿宋_GB2312"/>
          <w:color w:val="auto"/>
          <w:sz w:val="32"/>
          <w:szCs w:val="32"/>
        </w:rPr>
      </w:pPr>
    </w:p>
    <w:p>
      <w:pPr>
        <w:widowControl w:val="0"/>
        <w:wordWrap/>
        <w:adjustRightInd/>
        <w:snapToGrid/>
        <w:spacing w:line="560" w:lineRule="exact"/>
        <w:ind w:firstLine="643" w:firstLineChars="200"/>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问题二</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请问</w:t>
      </w:r>
      <w:r>
        <w:rPr>
          <w:color w:val="auto"/>
        </w:rPr>
        <w:fldChar w:fldCharType="begin"/>
      </w:r>
      <w:r>
        <w:rPr>
          <w:color w:val="auto"/>
        </w:rPr>
        <w:instrText xml:space="preserve"> HYPERLINK "http://jufuwang.com/post/710.html" \t "http://jufuwang.com/post/_self" </w:instrText>
      </w:r>
      <w:r>
        <w:rPr>
          <w:color w:val="auto"/>
        </w:rPr>
        <w:fldChar w:fldCharType="separate"/>
      </w:r>
      <w:r>
        <w:rPr>
          <w:rFonts w:hint="eastAsia" w:ascii="仿宋_GB2312" w:hAnsi="仿宋_GB2312" w:eastAsia="仿宋_GB2312" w:cs="仿宋_GB2312"/>
          <w:b/>
          <w:bCs/>
          <w:color w:val="auto"/>
          <w:sz w:val="32"/>
          <w:szCs w:val="32"/>
        </w:rPr>
        <w:t>公司名称注册</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t>有什么需要注意的地方吗</w:t>
      </w:r>
      <w:r>
        <w:rPr>
          <w:rFonts w:ascii="仿宋_GB2312" w:hAnsi="仿宋_GB2312" w:eastAsia="仿宋_GB2312" w:cs="仿宋_GB2312"/>
          <w:b/>
          <w:bCs/>
          <w:color w:val="auto"/>
          <w:sz w:val="32"/>
          <w:szCs w:val="32"/>
        </w:rPr>
        <w:t>?</w:t>
      </w:r>
    </w:p>
    <w:p>
      <w:pPr>
        <w:widowControl w:val="0"/>
        <w:wordWrap/>
        <w:adjustRightInd/>
        <w:snapToGrid/>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注册公司名称规范如下：公司名称规范</w:t>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，内资企业名称，按照公司法规定：</w:t>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地区名即地域名称，即以企业所在地区的行政区划来命名的，如在玉林注册公司，“玉林”地区名一般放在第一位置，也可后置。行业名称必须规范，由市场监管总局公告过的标准行业名称。</w:t>
      </w:r>
    </w:p>
    <w:p>
      <w:pPr>
        <w:widowControl w:val="0"/>
        <w:wordWrap/>
        <w:adjustRightInd/>
        <w:snapToGrid/>
        <w:spacing w:line="560" w:lineRule="exact"/>
        <w:textAlignment w:val="auto"/>
        <w:rPr>
          <w:rFonts w:ascii="仿宋_GB2312" w:hAnsi="仿宋_GB2312" w:eastAsia="仿宋_GB2312" w:cs="仿宋_GB2312"/>
          <w:b/>
          <w:bCs/>
          <w:color w:val="auto"/>
          <w:sz w:val="32"/>
          <w:szCs w:val="32"/>
        </w:rPr>
      </w:pPr>
    </w:p>
    <w:p>
      <w:pPr>
        <w:pStyle w:val="2"/>
        <w:widowControl/>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问题</w:t>
      </w:r>
      <w:r>
        <w:rPr>
          <w:rFonts w:hint="eastAsia" w:ascii="仿宋_GB2312" w:hAnsi="仿宋_GB2312" w:eastAsia="仿宋_GB2312" w:cs="仿宋_GB2312"/>
          <w:b/>
          <w:bCs/>
          <w:color w:val="auto"/>
          <w:sz w:val="32"/>
          <w:szCs w:val="32"/>
          <w:lang w:val="en-US" w:eastAsia="zh-CN"/>
        </w:rPr>
        <w:t>三：</w:t>
      </w:r>
      <w:r>
        <w:rPr>
          <w:rFonts w:hint="eastAsia" w:ascii="仿宋_GB2312" w:hAnsi="仿宋_GB2312" w:eastAsia="仿宋_GB2312" w:cs="仿宋_GB2312"/>
          <w:b/>
          <w:bCs/>
          <w:color w:val="auto"/>
          <w:kern w:val="2"/>
          <w:sz w:val="32"/>
          <w:szCs w:val="32"/>
          <w:lang w:val="en-US" w:eastAsia="zh-CN" w:bidi="ar-SA"/>
        </w:rPr>
        <w:t>特殊膳食食品允许代加工吗？</w:t>
      </w:r>
    </w:p>
    <w:p>
      <w:pPr>
        <w:widowControl w:val="0"/>
        <w:wordWrap/>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是为满足某些特殊人群的生理需要，或某些疾病患者的营养需要，按特殊配方而专门加工的食品。这类食品的成分或成分含量，应与可类比的普通食品有显著不同。</w:t>
      </w:r>
      <w:r>
        <w:rPr>
          <w:rFonts w:hint="eastAsia" w:ascii="仿宋_GB2312" w:hAnsi="仿宋_GB2312" w:eastAsia="仿宋_GB2312" w:cs="仿宋_GB2312"/>
          <w:color w:val="auto"/>
          <w:sz w:val="32"/>
          <w:szCs w:val="32"/>
          <w:lang w:val="en-US" w:eastAsia="zh-CN"/>
        </w:rPr>
        <w:br/>
      </w:r>
      <w:r>
        <w:rPr>
          <w:rFonts w:hint="eastAsia" w:ascii="仿宋_GB2312" w:hAnsi="仿宋_GB2312" w:eastAsia="仿宋_GB2312" w:cs="仿宋_GB2312"/>
          <w:color w:val="auto"/>
          <w:sz w:val="32"/>
          <w:szCs w:val="32"/>
          <w:lang w:val="en-US" w:eastAsia="zh-CN"/>
        </w:rPr>
        <w:t>特殊膳食用食品需具备两个条件：</w:t>
      </w:r>
      <w:r>
        <w:rPr>
          <w:rFonts w:hint="eastAsia" w:ascii="仿宋_GB2312" w:hAnsi="仿宋_GB2312" w:eastAsia="仿宋_GB2312" w:cs="仿宋_GB2312"/>
          <w:color w:val="auto"/>
          <w:sz w:val="32"/>
          <w:szCs w:val="32"/>
          <w:lang w:val="en-US" w:eastAsia="zh-CN"/>
        </w:rPr>
        <w:br/>
      </w:r>
      <w:r>
        <w:rPr>
          <w:rFonts w:hint="eastAsia" w:ascii="仿宋_GB2312" w:hAnsi="仿宋_GB2312" w:eastAsia="仿宋_GB2312" w:cs="仿宋_GB2312"/>
          <w:color w:val="auto"/>
          <w:sz w:val="32"/>
          <w:szCs w:val="32"/>
          <w:lang w:val="en-US" w:eastAsia="zh-CN"/>
        </w:rPr>
        <w:t>第一，某一种或某一类食品最适宜特定（特殊）人群食用，如婴儿、幼儿、糖尿病患者、严重缺乏某些营养素的人等。这类人群由于生理原因，需要的膳食结构与一般人群的膳食结构有明显区别。</w:t>
      </w:r>
      <w:r>
        <w:rPr>
          <w:rFonts w:hint="eastAsia" w:ascii="仿宋_GB2312" w:hAnsi="仿宋_GB2312" w:eastAsia="仿宋_GB2312" w:cs="仿宋_GB2312"/>
          <w:color w:val="auto"/>
          <w:sz w:val="32"/>
          <w:szCs w:val="32"/>
          <w:lang w:val="en-US" w:eastAsia="zh-CN"/>
        </w:rPr>
        <w:br/>
      </w:r>
      <w:r>
        <w:rPr>
          <w:rFonts w:hint="eastAsia" w:ascii="仿宋_GB2312" w:hAnsi="仿宋_GB2312" w:eastAsia="仿宋_GB2312" w:cs="仿宋_GB2312"/>
          <w:color w:val="auto"/>
          <w:sz w:val="32"/>
          <w:szCs w:val="32"/>
          <w:lang w:val="en-US" w:eastAsia="zh-CN"/>
        </w:rPr>
        <w:t>第二，为这类人群制作的食品与可类比的普通食品的营养成分有显著不同，有些营养素含量很低或很高。如无母乳喂养的婴儿需要的婴儿配方乳粉，其营养成分和含量与成年人食用的乳粉有显著不同。两个条件同时具备，才称为特殊膳食用食品。</w:t>
      </w:r>
    </w:p>
    <w:p>
      <w:pPr>
        <w:widowControl w:val="0"/>
        <w:wordWrap/>
        <w:adjustRightInd/>
        <w:snapToGrid/>
        <w:spacing w:line="560" w:lineRule="exact"/>
        <w:textAlignment w:val="auto"/>
        <w:rPr>
          <w:rFonts w:ascii="仿宋_GB2312" w:eastAsia="仿宋_GB2312"/>
          <w:color w:val="auto"/>
          <w:sz w:val="32"/>
          <w:szCs w:val="32"/>
        </w:rPr>
      </w:pPr>
    </w:p>
    <w:sectPr>
      <w:headerReference r:id="rId6" w:type="first"/>
      <w:footerReference r:id="rId9" w:type="first"/>
      <w:headerReference r:id="rId4" w:type="default"/>
      <w:footerReference r:id="rId7" w:type="default"/>
      <w:headerReference r:id="rId5" w:type="even"/>
      <w:footerReference r:id="rId8" w:type="even"/>
      <w:pgSz w:w="11906" w:h="16838"/>
      <w:pgMar w:top="1417" w:right="1304"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等线" w:hAnsi="等线" w:eastAsia="等线" w:cs="Times New Roman"/>
        <w:kern w:val="2"/>
        <w:sz w:val="18"/>
        <w:szCs w:val="18"/>
        <w:lang w:val="en-US" w:eastAsia="zh-CN" w:bidi="ar-SA"/>
      </w:rPr>
      <w:pict>
        <v:shape id="Quad Arrow 3073" o:spid="_x0000_s1025" type="#_x0000_t202" style="position:absolute;left:0;margin-top:0pt;height:144pt;width:144pt;mso-position-horizontal:outside;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86612"/>
    <w:rsid w:val="00005B99"/>
    <w:rsid w:val="00014C9E"/>
    <w:rsid w:val="000177BE"/>
    <w:rsid w:val="00070FA6"/>
    <w:rsid w:val="00085AA5"/>
    <w:rsid w:val="00086171"/>
    <w:rsid w:val="000B591B"/>
    <w:rsid w:val="00150650"/>
    <w:rsid w:val="00157FB3"/>
    <w:rsid w:val="001B2559"/>
    <w:rsid w:val="00226AC8"/>
    <w:rsid w:val="002921A7"/>
    <w:rsid w:val="002B078D"/>
    <w:rsid w:val="002E77B4"/>
    <w:rsid w:val="00310779"/>
    <w:rsid w:val="00347030"/>
    <w:rsid w:val="0039345E"/>
    <w:rsid w:val="003A74C8"/>
    <w:rsid w:val="004027F7"/>
    <w:rsid w:val="00417FFB"/>
    <w:rsid w:val="00470E91"/>
    <w:rsid w:val="00491FBF"/>
    <w:rsid w:val="00500EF0"/>
    <w:rsid w:val="00514C8C"/>
    <w:rsid w:val="005802B1"/>
    <w:rsid w:val="005C1BB2"/>
    <w:rsid w:val="006C7668"/>
    <w:rsid w:val="00761A4F"/>
    <w:rsid w:val="00780605"/>
    <w:rsid w:val="00792EE2"/>
    <w:rsid w:val="007A0D2D"/>
    <w:rsid w:val="007A49C1"/>
    <w:rsid w:val="008D73FA"/>
    <w:rsid w:val="008E2296"/>
    <w:rsid w:val="00905A95"/>
    <w:rsid w:val="00A145D9"/>
    <w:rsid w:val="00A47697"/>
    <w:rsid w:val="00A90A21"/>
    <w:rsid w:val="00AC7576"/>
    <w:rsid w:val="00B249CC"/>
    <w:rsid w:val="00C20CAD"/>
    <w:rsid w:val="00C621F4"/>
    <w:rsid w:val="00C86612"/>
    <w:rsid w:val="00CB73DC"/>
    <w:rsid w:val="00E12AD6"/>
    <w:rsid w:val="00E53D6C"/>
    <w:rsid w:val="00E90046"/>
    <w:rsid w:val="00EB104D"/>
    <w:rsid w:val="00EB5C09"/>
    <w:rsid w:val="00ED3E3D"/>
    <w:rsid w:val="05BF535A"/>
    <w:rsid w:val="06DE2AD9"/>
    <w:rsid w:val="0CF82B5A"/>
    <w:rsid w:val="17390459"/>
    <w:rsid w:val="19F91F52"/>
    <w:rsid w:val="1F232908"/>
    <w:rsid w:val="25B95D84"/>
    <w:rsid w:val="2A215FC7"/>
    <w:rsid w:val="2BA564DA"/>
    <w:rsid w:val="2DA2397A"/>
    <w:rsid w:val="2E341756"/>
    <w:rsid w:val="2EE91384"/>
    <w:rsid w:val="324F3C72"/>
    <w:rsid w:val="34366A12"/>
    <w:rsid w:val="397006A0"/>
    <w:rsid w:val="39E45871"/>
    <w:rsid w:val="3D2E6BA3"/>
    <w:rsid w:val="3EB63B97"/>
    <w:rsid w:val="3F0D3413"/>
    <w:rsid w:val="48F700B2"/>
    <w:rsid w:val="4AB55669"/>
    <w:rsid w:val="4E063722"/>
    <w:rsid w:val="4E7B19E1"/>
    <w:rsid w:val="515B21C9"/>
    <w:rsid w:val="6AA05F1E"/>
    <w:rsid w:val="6CDC1C6F"/>
    <w:rsid w:val="6DC959F1"/>
    <w:rsid w:val="6ECB23B0"/>
    <w:rsid w:val="6F2A0EE1"/>
    <w:rsid w:val="6FCB0748"/>
    <w:rsid w:val="7323113C"/>
    <w:rsid w:val="7A4633A1"/>
    <w:rsid w:val="7F1C7DE1"/>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4"/>
      <w:lang w:val="en-US" w:eastAsia="zh-CN" w:bidi="ar-SA"/>
    </w:rPr>
  </w:style>
  <w:style w:type="paragraph" w:styleId="2">
    <w:name w:val="heading 1"/>
    <w:basedOn w:val="1"/>
    <w:next w:val="1"/>
    <w:qFormat/>
    <w:locked/>
    <w:uiPriority w:val="0"/>
    <w:pPr>
      <w:spacing w:before="0" w:beforeAutospacing="1" w:after="0" w:afterAutospacing="1"/>
      <w:jc w:val="left"/>
    </w:pPr>
    <w:rPr>
      <w:rFonts w:hint="eastAsia" w:ascii="宋体" w:hAnsi="宋体" w:eastAsia="宋体" w:cs="宋体"/>
      <w:b/>
      <w:bCs/>
      <w:kern w:val="44"/>
      <w:sz w:val="48"/>
      <w:szCs w:val="48"/>
      <w:lang w:val="en-US" w:eastAsia="zh-CN"/>
    </w:rPr>
  </w:style>
  <w:style w:type="character" w:default="1" w:styleId="5">
    <w:name w:val="Default Paragraph Font"/>
    <w:semiHidden/>
    <w:uiPriority w:val="99"/>
  </w:style>
  <w:style w:type="table" w:default="1" w:styleId="14">
    <w:name w:val="Normal Table"/>
    <w:unhideWhenUsed/>
    <w:qFormat/>
    <w:uiPriority w:val="99"/>
    <w:tblPr>
      <w:tblStyle w:val="14"/>
      <w:tblLayout w:type="fixed"/>
      <w:tblCellMar>
        <w:top w:w="0" w:type="dxa"/>
        <w:left w:w="108" w:type="dxa"/>
        <w:bottom w:w="0" w:type="dxa"/>
        <w:right w:w="108" w:type="dxa"/>
      </w:tblCellMar>
    </w:tblPr>
    <w:tcPr>
      <w:textDirection w:val="lrTb"/>
    </w:tcPr>
  </w:style>
  <w:style w:type="paragraph" w:styleId="3">
    <w:name w:val="footer"/>
    <w:basedOn w:val="1"/>
    <w:link w:val="16"/>
    <w:qFormat/>
    <w:uiPriority w:val="99"/>
    <w:pPr>
      <w:tabs>
        <w:tab w:val="center" w:pos="4153"/>
        <w:tab w:val="right" w:pos="8306"/>
      </w:tabs>
      <w:snapToGrid w:val="0"/>
      <w:jc w:val="left"/>
    </w:pPr>
    <w:rPr>
      <w:sz w:val="18"/>
      <w:szCs w:val="18"/>
    </w:rPr>
  </w:style>
  <w:style w:type="paragraph" w:styleId="4">
    <w:name w:val="header"/>
    <w:basedOn w:val="1"/>
    <w:link w:val="15"/>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unhideWhenUsed/>
    <w:uiPriority w:val="99"/>
    <w:rPr>
      <w:color w:val="136EC2"/>
      <w:u w:val="none"/>
    </w:rPr>
  </w:style>
  <w:style w:type="character" w:styleId="7">
    <w:name w:val="Emphasis"/>
    <w:basedOn w:val="5"/>
    <w:qFormat/>
    <w:locked/>
    <w:uiPriority w:val="0"/>
    <w:rPr/>
  </w:style>
  <w:style w:type="character" w:styleId="8">
    <w:name w:val="HTML Definition"/>
    <w:basedOn w:val="5"/>
    <w:unhideWhenUsed/>
    <w:uiPriority w:val="99"/>
    <w:rPr/>
  </w:style>
  <w:style w:type="character" w:styleId="9">
    <w:name w:val="HTML Acronym"/>
    <w:basedOn w:val="5"/>
    <w:unhideWhenUsed/>
    <w:uiPriority w:val="99"/>
    <w:rPr/>
  </w:style>
  <w:style w:type="character" w:styleId="10">
    <w:name w:val="HTML Variable"/>
    <w:basedOn w:val="5"/>
    <w:unhideWhenUsed/>
    <w:uiPriority w:val="99"/>
    <w:rPr/>
  </w:style>
  <w:style w:type="character" w:styleId="11">
    <w:name w:val="Hyperlink"/>
    <w:basedOn w:val="5"/>
    <w:unhideWhenUsed/>
    <w:uiPriority w:val="99"/>
    <w:rPr>
      <w:color w:val="136EC2"/>
      <w:u w:val="none"/>
    </w:rPr>
  </w:style>
  <w:style w:type="character" w:styleId="12">
    <w:name w:val="HTML Code"/>
    <w:basedOn w:val="5"/>
    <w:unhideWhenUsed/>
    <w:uiPriority w:val="99"/>
    <w:rPr>
      <w:rFonts w:ascii="Courier New" w:hAnsi="Courier New"/>
      <w:sz w:val="20"/>
    </w:rPr>
  </w:style>
  <w:style w:type="character" w:styleId="13">
    <w:name w:val="HTML Cite"/>
    <w:basedOn w:val="5"/>
    <w:unhideWhenUsed/>
    <w:uiPriority w:val="99"/>
    <w:rPr/>
  </w:style>
  <w:style w:type="character" w:customStyle="1" w:styleId="15">
    <w:name w:val="Header Char"/>
    <w:basedOn w:val="5"/>
    <w:link w:val="4"/>
    <w:semiHidden/>
    <w:locked/>
    <w:uiPriority w:val="99"/>
    <w:rPr>
      <w:rFonts w:cs="Times New Roman"/>
      <w:sz w:val="18"/>
      <w:szCs w:val="18"/>
    </w:rPr>
  </w:style>
  <w:style w:type="character" w:customStyle="1" w:styleId="16">
    <w:name w:val="Footer Char"/>
    <w:basedOn w:val="5"/>
    <w:link w:val="3"/>
    <w:semiHidden/>
    <w:locked/>
    <w:uiPriority w:val="99"/>
    <w:rPr>
      <w:rFonts w:cs="Times New Roman"/>
      <w:sz w:val="18"/>
      <w:szCs w:val="18"/>
    </w:rPr>
  </w:style>
  <w:style w:type="character" w:customStyle="1" w:styleId="17">
    <w:name w:val="btn-task-gray2"/>
    <w:basedOn w:val="5"/>
    <w:uiPriority w:val="0"/>
    <w:rPr>
      <w:color w:val="FFFFFF"/>
      <w:u w:val="none"/>
      <w:shd w:val="clear" w:color="020000" w:fill="CCCCCC"/>
    </w:rPr>
  </w:style>
  <w:style w:type="character" w:customStyle="1" w:styleId="18">
    <w:name w:val="s1"/>
    <w:basedOn w:val="5"/>
    <w:uiPriority w:val="0"/>
    <w:rPr>
      <w:color w:val="DDDDDD"/>
      <w:sz w:val="18"/>
      <w:szCs w:val="18"/>
    </w:rPr>
  </w:style>
  <w:style w:type="character" w:customStyle="1" w:styleId="19">
    <w:name w:val="btn-auto-11"/>
    <w:basedOn w:val="5"/>
    <w:uiPriority w:val="0"/>
    <w:rPr/>
  </w:style>
  <w:style w:type="character" w:customStyle="1" w:styleId="20">
    <w:name w:val="btn-task-gray3"/>
    <w:basedOn w:val="5"/>
    <w:uiPriority w:val="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356</Words>
  <Characters>2034</Characters>
  <Lines>0</Lines>
  <Paragraphs>0</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2021-06-15T08:43:00Z</dcterms:created>
  <dc:creator>02</dc:creator>
  <cp:lastModifiedBy>政务服务监督管理办公室</cp:lastModifiedBy>
  <dcterms:modified xsi:type="dcterms:W3CDTF">2021-10-18T07:02:49Z</dcterms:modified>
  <dc:title>附件3-2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774ACCBC75B14C3E884ADB5D3342EDAB</vt:lpwstr>
  </property>
</Properties>
</file>