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253DA">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方正黑体_GBK" w:hAnsi="方正黑体_GBK" w:eastAsia="方正黑体_GBK" w:cs="方正黑体_GBK"/>
          <w:color w:val="auto"/>
          <w:spacing w:val="0"/>
          <w:kern w:val="21"/>
          <w:sz w:val="32"/>
          <w:szCs w:val="32"/>
        </w:rPr>
      </w:pPr>
      <w:r>
        <w:rPr>
          <w:rFonts w:hint="eastAsia" w:ascii="方正黑体_GBK" w:hAnsi="方正黑体_GBK" w:eastAsia="方正黑体_GBK" w:cs="方正黑体_GBK"/>
          <w:color w:val="auto"/>
          <w:spacing w:val="0"/>
          <w:kern w:val="21"/>
          <w:sz w:val="32"/>
          <w:szCs w:val="32"/>
        </w:rPr>
        <w:t>附件</w:t>
      </w:r>
    </w:p>
    <w:p w14:paraId="5FE2DAFF">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Times New Roman" w:hAnsi="Times New Roman" w:eastAsia="方正仿宋_GBK" w:cs="方正仿宋_GBK"/>
          <w:color w:val="auto"/>
          <w:spacing w:val="0"/>
          <w:kern w:val="21"/>
          <w:sz w:val="32"/>
          <w:szCs w:val="32"/>
        </w:rPr>
      </w:pPr>
    </w:p>
    <w:p w14:paraId="14FB24D9">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color w:val="auto"/>
          <w:spacing w:val="0"/>
          <w:kern w:val="21"/>
          <w:sz w:val="44"/>
          <w:szCs w:val="44"/>
        </w:rPr>
      </w:pPr>
      <w:bookmarkStart w:id="0" w:name="_GoBack"/>
      <w:bookmarkEnd w:id="0"/>
      <w:r>
        <w:rPr>
          <w:rFonts w:hint="eastAsia" w:ascii="方正小标宋简体" w:hAnsi="方正小标宋简体" w:eastAsia="方正小标宋简体" w:cs="方正小标宋简体"/>
          <w:color w:val="auto"/>
          <w:spacing w:val="0"/>
          <w:kern w:val="21"/>
          <w:sz w:val="44"/>
          <w:szCs w:val="44"/>
        </w:rPr>
        <w:t>2024年广西优化营商环境工作要点任务清单</w:t>
      </w:r>
    </w:p>
    <w:p w14:paraId="39524801">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Times New Roman" w:hAnsi="Times New Roman" w:eastAsia="方正仿宋_GBK" w:cs="方正仿宋_GBK"/>
          <w:color w:val="auto"/>
          <w:spacing w:val="0"/>
          <w:kern w:val="21"/>
          <w:sz w:val="32"/>
          <w:szCs w:val="32"/>
        </w:rPr>
      </w:pPr>
    </w:p>
    <w:tbl>
      <w:tblPr>
        <w:tblStyle w:val="7"/>
        <w:tblW w:w="13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988"/>
        <w:gridCol w:w="2038"/>
        <w:gridCol w:w="4992"/>
        <w:gridCol w:w="2251"/>
        <w:gridCol w:w="2309"/>
      </w:tblGrid>
      <w:tr w14:paraId="7BC17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518" w:type="dxa"/>
            <w:tcBorders>
              <w:tl2br w:val="nil"/>
              <w:tr2bl w:val="nil"/>
            </w:tcBorders>
            <w:noWrap w:val="0"/>
            <w:tcMar>
              <w:top w:w="28" w:type="dxa"/>
              <w:left w:w="28" w:type="dxa"/>
              <w:bottom w:w="28" w:type="dxa"/>
              <w:right w:w="28" w:type="dxa"/>
            </w:tcMar>
            <w:vAlign w:val="center"/>
          </w:tcPr>
          <w:p w14:paraId="3F55E5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序号</w:t>
            </w:r>
          </w:p>
        </w:tc>
        <w:tc>
          <w:tcPr>
            <w:tcW w:w="988" w:type="dxa"/>
            <w:tcBorders>
              <w:tl2br w:val="nil"/>
              <w:tr2bl w:val="nil"/>
            </w:tcBorders>
            <w:noWrap w:val="0"/>
            <w:tcMar>
              <w:top w:w="28" w:type="dxa"/>
              <w:left w:w="28" w:type="dxa"/>
              <w:bottom w:w="28" w:type="dxa"/>
              <w:right w:w="28" w:type="dxa"/>
            </w:tcMar>
            <w:vAlign w:val="center"/>
          </w:tcPr>
          <w:p w14:paraId="7A5FE3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指标</w:t>
            </w:r>
          </w:p>
        </w:tc>
        <w:tc>
          <w:tcPr>
            <w:tcW w:w="2038" w:type="dxa"/>
            <w:tcBorders>
              <w:tl2br w:val="nil"/>
              <w:tr2bl w:val="nil"/>
            </w:tcBorders>
            <w:noWrap w:val="0"/>
            <w:tcMar>
              <w:top w:w="28" w:type="dxa"/>
              <w:left w:w="28" w:type="dxa"/>
              <w:bottom w:w="28" w:type="dxa"/>
              <w:right w:w="28" w:type="dxa"/>
            </w:tcMar>
            <w:vAlign w:val="center"/>
          </w:tcPr>
          <w:p w14:paraId="1E6EF8F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改革方向</w:t>
            </w:r>
          </w:p>
        </w:tc>
        <w:tc>
          <w:tcPr>
            <w:tcW w:w="4992" w:type="dxa"/>
            <w:tcBorders>
              <w:tl2br w:val="nil"/>
              <w:tr2bl w:val="nil"/>
            </w:tcBorders>
            <w:noWrap w:val="0"/>
            <w:tcMar>
              <w:top w:w="28" w:type="dxa"/>
              <w:left w:w="28" w:type="dxa"/>
              <w:bottom w:w="28" w:type="dxa"/>
              <w:right w:w="28" w:type="dxa"/>
            </w:tcMar>
            <w:vAlign w:val="center"/>
          </w:tcPr>
          <w:p w14:paraId="4D251E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任务举措</w:t>
            </w:r>
          </w:p>
        </w:tc>
        <w:tc>
          <w:tcPr>
            <w:tcW w:w="2251" w:type="dxa"/>
            <w:tcBorders>
              <w:tl2br w:val="nil"/>
              <w:tr2bl w:val="nil"/>
            </w:tcBorders>
            <w:noWrap w:val="0"/>
            <w:tcMar>
              <w:top w:w="28" w:type="dxa"/>
              <w:left w:w="28" w:type="dxa"/>
              <w:bottom w:w="28" w:type="dxa"/>
              <w:right w:w="28" w:type="dxa"/>
            </w:tcMar>
            <w:vAlign w:val="center"/>
          </w:tcPr>
          <w:p w14:paraId="569D3B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牵头单位</w:t>
            </w:r>
          </w:p>
        </w:tc>
        <w:tc>
          <w:tcPr>
            <w:tcW w:w="2309" w:type="dxa"/>
            <w:tcBorders>
              <w:tl2br w:val="nil"/>
              <w:tr2bl w:val="nil"/>
            </w:tcBorders>
            <w:noWrap w:val="0"/>
            <w:tcMar>
              <w:top w:w="28" w:type="dxa"/>
              <w:left w:w="28" w:type="dxa"/>
              <w:bottom w:w="28" w:type="dxa"/>
              <w:right w:w="28" w:type="dxa"/>
            </w:tcMar>
            <w:vAlign w:val="center"/>
          </w:tcPr>
          <w:p w14:paraId="50F76E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方正黑体_GBK" w:hAnsi="方正黑体_GBK" w:eastAsia="方正黑体_GBK" w:cs="方正黑体_GBK"/>
                <w:b w:val="0"/>
                <w:bCs/>
                <w:i w:val="0"/>
                <w:snapToGrid w:val="0"/>
                <w:color w:val="auto"/>
                <w:spacing w:val="0"/>
                <w:kern w:val="21"/>
                <w:sz w:val="22"/>
                <w:szCs w:val="22"/>
                <w:u w:val="none"/>
              </w:rPr>
            </w:pPr>
            <w:r>
              <w:rPr>
                <w:rFonts w:hint="eastAsia" w:ascii="方正黑体_GBK" w:hAnsi="方正黑体_GBK" w:eastAsia="方正黑体_GBK" w:cs="方正黑体_GBK"/>
                <w:b w:val="0"/>
                <w:bCs/>
                <w:i w:val="0"/>
                <w:snapToGrid w:val="0"/>
                <w:color w:val="auto"/>
                <w:spacing w:val="0"/>
                <w:kern w:val="21"/>
                <w:sz w:val="22"/>
                <w:szCs w:val="22"/>
                <w:u w:val="none"/>
                <w:lang w:val="en-US" w:eastAsia="zh-CN" w:bidi="ar"/>
              </w:rPr>
              <w:t>配合单位</w:t>
            </w:r>
          </w:p>
        </w:tc>
      </w:tr>
      <w:tr w14:paraId="57E35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351E7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w:t>
            </w:r>
          </w:p>
        </w:tc>
        <w:tc>
          <w:tcPr>
            <w:tcW w:w="988" w:type="dxa"/>
            <w:vMerge w:val="restart"/>
            <w:tcBorders>
              <w:tl2br w:val="nil"/>
              <w:tr2bl w:val="nil"/>
            </w:tcBorders>
            <w:noWrap w:val="0"/>
            <w:tcMar>
              <w:top w:w="28" w:type="dxa"/>
              <w:left w:w="28" w:type="dxa"/>
              <w:bottom w:w="28" w:type="dxa"/>
              <w:right w:w="28" w:type="dxa"/>
            </w:tcMar>
            <w:vAlign w:val="center"/>
          </w:tcPr>
          <w:p w14:paraId="37CE56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企业开办</w:t>
            </w:r>
          </w:p>
        </w:tc>
        <w:tc>
          <w:tcPr>
            <w:tcW w:w="2038" w:type="dxa"/>
            <w:tcBorders>
              <w:tl2br w:val="nil"/>
              <w:tr2bl w:val="nil"/>
            </w:tcBorders>
            <w:noWrap w:val="0"/>
            <w:tcMar>
              <w:top w:w="28" w:type="dxa"/>
              <w:left w:w="28" w:type="dxa"/>
              <w:bottom w:w="28" w:type="dxa"/>
              <w:right w:w="28" w:type="dxa"/>
            </w:tcMar>
            <w:vAlign w:val="center"/>
          </w:tcPr>
          <w:p w14:paraId="58C047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拓展“经营主体服务码”应用</w:t>
            </w:r>
          </w:p>
        </w:tc>
        <w:tc>
          <w:tcPr>
            <w:tcW w:w="4992" w:type="dxa"/>
            <w:tcBorders>
              <w:tl2br w:val="nil"/>
              <w:tr2bl w:val="nil"/>
            </w:tcBorders>
            <w:noWrap w:val="0"/>
            <w:tcMar>
              <w:top w:w="28" w:type="dxa"/>
              <w:left w:w="28" w:type="dxa"/>
              <w:bottom w:w="28" w:type="dxa"/>
              <w:right w:w="28" w:type="dxa"/>
            </w:tcMar>
            <w:vAlign w:val="center"/>
          </w:tcPr>
          <w:p w14:paraId="0494F2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持续拓展“经营主体服务码”综合应用，深入推动“一企一照一码”工作。</w:t>
            </w:r>
          </w:p>
        </w:tc>
        <w:tc>
          <w:tcPr>
            <w:tcW w:w="2251" w:type="dxa"/>
            <w:tcBorders>
              <w:tl2br w:val="nil"/>
              <w:tr2bl w:val="nil"/>
            </w:tcBorders>
            <w:noWrap w:val="0"/>
            <w:tcMar>
              <w:top w:w="28" w:type="dxa"/>
              <w:left w:w="28" w:type="dxa"/>
              <w:bottom w:w="28" w:type="dxa"/>
              <w:right w:w="28" w:type="dxa"/>
            </w:tcMar>
            <w:vAlign w:val="center"/>
          </w:tcPr>
          <w:p w14:paraId="35E1140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2C636D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2AAE0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F95E0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w:t>
            </w:r>
          </w:p>
        </w:tc>
        <w:tc>
          <w:tcPr>
            <w:tcW w:w="988" w:type="dxa"/>
            <w:vMerge w:val="continue"/>
            <w:tcBorders>
              <w:tl2br w:val="nil"/>
              <w:tr2bl w:val="nil"/>
            </w:tcBorders>
            <w:noWrap w:val="0"/>
            <w:tcMar>
              <w:top w:w="28" w:type="dxa"/>
              <w:left w:w="28" w:type="dxa"/>
              <w:bottom w:w="28" w:type="dxa"/>
              <w:right w:w="28" w:type="dxa"/>
            </w:tcMar>
            <w:vAlign w:val="center"/>
          </w:tcPr>
          <w:p w14:paraId="7CDAD00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6315B9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提升经营主体退出便利化水平</w:t>
            </w:r>
          </w:p>
        </w:tc>
        <w:tc>
          <w:tcPr>
            <w:tcW w:w="4992" w:type="dxa"/>
            <w:tcBorders>
              <w:tl2br w:val="nil"/>
              <w:tr2bl w:val="nil"/>
            </w:tcBorders>
            <w:noWrap w:val="0"/>
            <w:tcMar>
              <w:top w:w="28" w:type="dxa"/>
              <w:left w:w="28" w:type="dxa"/>
              <w:bottom w:w="28" w:type="dxa"/>
              <w:right w:w="28" w:type="dxa"/>
            </w:tcMar>
            <w:vAlign w:val="center"/>
          </w:tcPr>
          <w:p w14:paraId="1EDA16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snapToGrid w:val="0"/>
                <w:color w:val="auto"/>
                <w:spacing w:val="0"/>
                <w:kern w:val="21"/>
                <w:sz w:val="22"/>
                <w:szCs w:val="22"/>
                <w:lang w:bidi="ar"/>
              </w:rPr>
              <w:t>实施企业注销登记“一件事”高效办理，完善企业注销“一网服务”、“一网展示、部门共享”专区，实现注销“信息共享、联动办理”。</w:t>
            </w:r>
          </w:p>
        </w:tc>
        <w:tc>
          <w:tcPr>
            <w:tcW w:w="2251" w:type="dxa"/>
            <w:tcBorders>
              <w:tl2br w:val="nil"/>
              <w:tr2bl w:val="nil"/>
            </w:tcBorders>
            <w:noWrap w:val="0"/>
            <w:tcMar>
              <w:top w:w="28" w:type="dxa"/>
              <w:left w:w="28" w:type="dxa"/>
              <w:bottom w:w="28" w:type="dxa"/>
              <w:right w:w="28" w:type="dxa"/>
            </w:tcMar>
            <w:vAlign w:val="center"/>
          </w:tcPr>
          <w:p w14:paraId="24F7D8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p w14:paraId="22EBF6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数据局</w:t>
            </w:r>
          </w:p>
        </w:tc>
        <w:tc>
          <w:tcPr>
            <w:tcW w:w="2309" w:type="dxa"/>
            <w:tcBorders>
              <w:tl2br w:val="nil"/>
              <w:tr2bl w:val="nil"/>
            </w:tcBorders>
            <w:noWrap w:val="0"/>
            <w:tcMar>
              <w:top w:w="28" w:type="dxa"/>
              <w:left w:w="28" w:type="dxa"/>
              <w:bottom w:w="28" w:type="dxa"/>
              <w:right w:w="28" w:type="dxa"/>
            </w:tcMar>
            <w:vAlign w:val="center"/>
          </w:tcPr>
          <w:p w14:paraId="3C3686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自治区公安厅、人力资源社会保障厅、</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、医保局，中国人民银行广西壮族自治区分行，南宁海关，广西税务局</w:t>
            </w:r>
          </w:p>
        </w:tc>
      </w:tr>
      <w:tr w14:paraId="6A5D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62720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w:t>
            </w:r>
          </w:p>
        </w:tc>
        <w:tc>
          <w:tcPr>
            <w:tcW w:w="988" w:type="dxa"/>
            <w:vMerge w:val="continue"/>
            <w:tcBorders>
              <w:tl2br w:val="nil"/>
              <w:tr2bl w:val="nil"/>
            </w:tcBorders>
            <w:noWrap w:val="0"/>
            <w:tcMar>
              <w:top w:w="28" w:type="dxa"/>
              <w:left w:w="28" w:type="dxa"/>
              <w:bottom w:w="28" w:type="dxa"/>
              <w:right w:w="28" w:type="dxa"/>
            </w:tcMar>
            <w:vAlign w:val="center"/>
          </w:tcPr>
          <w:p w14:paraId="547F3B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72AF5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提升企业准营到期临期证件续办便捷度</w:t>
            </w:r>
          </w:p>
        </w:tc>
        <w:tc>
          <w:tcPr>
            <w:tcW w:w="4992" w:type="dxa"/>
            <w:tcBorders>
              <w:tl2br w:val="nil"/>
              <w:tr2bl w:val="nil"/>
            </w:tcBorders>
            <w:noWrap w:val="0"/>
            <w:tcMar>
              <w:top w:w="28" w:type="dxa"/>
              <w:left w:w="28" w:type="dxa"/>
              <w:bottom w:w="28" w:type="dxa"/>
              <w:right w:w="28" w:type="dxa"/>
            </w:tcMar>
            <w:vAlign w:val="center"/>
          </w:tcPr>
          <w:p w14:paraId="418D811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在涉及企业准营、需行政审批部门同意的临期到期证件续办时，在符合规定的情况下直接延期和续办。</w:t>
            </w:r>
          </w:p>
        </w:tc>
        <w:tc>
          <w:tcPr>
            <w:tcW w:w="2251" w:type="dxa"/>
            <w:tcBorders>
              <w:tl2br w:val="nil"/>
              <w:tr2bl w:val="nil"/>
            </w:tcBorders>
            <w:noWrap w:val="0"/>
            <w:tcMar>
              <w:top w:w="28" w:type="dxa"/>
              <w:left w:w="28" w:type="dxa"/>
              <w:bottom w:w="28" w:type="dxa"/>
              <w:right w:w="28" w:type="dxa"/>
            </w:tcMar>
            <w:vAlign w:val="center"/>
          </w:tcPr>
          <w:p w14:paraId="39C2F5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区直各涉企职能部门</w:t>
            </w:r>
          </w:p>
        </w:tc>
        <w:tc>
          <w:tcPr>
            <w:tcW w:w="2309" w:type="dxa"/>
            <w:tcBorders>
              <w:tl2br w:val="nil"/>
              <w:tr2bl w:val="nil"/>
            </w:tcBorders>
            <w:noWrap w:val="0"/>
            <w:tcMar>
              <w:top w:w="28" w:type="dxa"/>
              <w:left w:w="28" w:type="dxa"/>
              <w:bottom w:w="28" w:type="dxa"/>
              <w:right w:w="28" w:type="dxa"/>
            </w:tcMar>
            <w:vAlign w:val="center"/>
          </w:tcPr>
          <w:p w14:paraId="3F7072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DED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10A65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w:t>
            </w:r>
          </w:p>
        </w:tc>
        <w:tc>
          <w:tcPr>
            <w:tcW w:w="988" w:type="dxa"/>
            <w:vMerge w:val="continue"/>
            <w:tcBorders>
              <w:tl2br w:val="nil"/>
              <w:tr2bl w:val="nil"/>
            </w:tcBorders>
            <w:noWrap w:val="0"/>
            <w:tcMar>
              <w:top w:w="28" w:type="dxa"/>
              <w:left w:w="28" w:type="dxa"/>
              <w:bottom w:w="28" w:type="dxa"/>
              <w:right w:w="28" w:type="dxa"/>
            </w:tcMar>
            <w:vAlign w:val="center"/>
          </w:tcPr>
          <w:p w14:paraId="2320577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E58E6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全面提升企业开办标准化服务水平</w:t>
            </w:r>
          </w:p>
        </w:tc>
        <w:tc>
          <w:tcPr>
            <w:tcW w:w="4992" w:type="dxa"/>
            <w:tcBorders>
              <w:tl2br w:val="nil"/>
              <w:tr2bl w:val="nil"/>
            </w:tcBorders>
            <w:noWrap w:val="0"/>
            <w:tcMar>
              <w:top w:w="28" w:type="dxa"/>
              <w:left w:w="28" w:type="dxa"/>
              <w:bottom w:w="28" w:type="dxa"/>
              <w:right w:w="28" w:type="dxa"/>
            </w:tcMar>
            <w:vAlign w:val="center"/>
          </w:tcPr>
          <w:p w14:paraId="11F993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依托壮美广西·政务云，搭建广西数字标准地名地址库，为全区开办企业实施住所（经营场所）标准化登记提供信息化支撑。将社保登记后续环节纳入企业开办“一网通办”平台。</w:t>
            </w:r>
          </w:p>
        </w:tc>
        <w:tc>
          <w:tcPr>
            <w:tcW w:w="2251" w:type="dxa"/>
            <w:tcBorders>
              <w:tl2br w:val="nil"/>
              <w:tr2bl w:val="nil"/>
            </w:tcBorders>
            <w:noWrap w:val="0"/>
            <w:tcMar>
              <w:top w:w="28" w:type="dxa"/>
              <w:left w:w="28" w:type="dxa"/>
              <w:bottom w:w="28" w:type="dxa"/>
              <w:right w:w="28" w:type="dxa"/>
            </w:tcMar>
            <w:vAlign w:val="center"/>
          </w:tcPr>
          <w:p w14:paraId="510158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自治区数据局、自然资源厅、发展改革委、公安厅、民政厅、</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、市场监管局</w:t>
            </w:r>
          </w:p>
        </w:tc>
        <w:tc>
          <w:tcPr>
            <w:tcW w:w="2309" w:type="dxa"/>
            <w:tcBorders>
              <w:tl2br w:val="nil"/>
              <w:tr2bl w:val="nil"/>
            </w:tcBorders>
            <w:noWrap w:val="0"/>
            <w:tcMar>
              <w:top w:w="28" w:type="dxa"/>
              <w:left w:w="28" w:type="dxa"/>
              <w:bottom w:w="28" w:type="dxa"/>
              <w:right w:w="28" w:type="dxa"/>
            </w:tcMar>
            <w:vAlign w:val="center"/>
          </w:tcPr>
          <w:p w14:paraId="06D328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44B0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64D99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w:t>
            </w:r>
          </w:p>
        </w:tc>
        <w:tc>
          <w:tcPr>
            <w:tcW w:w="988" w:type="dxa"/>
            <w:vMerge w:val="continue"/>
            <w:tcBorders>
              <w:tl2br w:val="nil"/>
              <w:tr2bl w:val="nil"/>
            </w:tcBorders>
            <w:noWrap w:val="0"/>
            <w:tcMar>
              <w:top w:w="28" w:type="dxa"/>
              <w:left w:w="28" w:type="dxa"/>
              <w:bottom w:w="28" w:type="dxa"/>
              <w:right w:w="28" w:type="dxa"/>
            </w:tcMar>
            <w:vAlign w:val="center"/>
          </w:tcPr>
          <w:p w14:paraId="73261E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E8E56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实施统一的市场准入制度</w:t>
            </w:r>
          </w:p>
        </w:tc>
        <w:tc>
          <w:tcPr>
            <w:tcW w:w="4992" w:type="dxa"/>
            <w:tcBorders>
              <w:tl2br w:val="nil"/>
              <w:tr2bl w:val="nil"/>
            </w:tcBorders>
            <w:noWrap w:val="0"/>
            <w:tcMar>
              <w:top w:w="28" w:type="dxa"/>
              <w:left w:w="28" w:type="dxa"/>
              <w:bottom w:w="28" w:type="dxa"/>
              <w:right w:w="28" w:type="dxa"/>
            </w:tcMar>
            <w:vAlign w:val="center"/>
          </w:tcPr>
          <w:p w14:paraId="5171A8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在中国（广西）自由贸易试验区南宁片区探索实施市场准入承诺即入制，简化市场主体准营手续，严格落实“非禁即入”，建立健全备案制度，实现“准入即准营”。</w:t>
            </w:r>
          </w:p>
        </w:tc>
        <w:tc>
          <w:tcPr>
            <w:tcW w:w="2251" w:type="dxa"/>
            <w:tcBorders>
              <w:tl2br w:val="nil"/>
              <w:tr2bl w:val="nil"/>
            </w:tcBorders>
            <w:noWrap w:val="0"/>
            <w:tcMar>
              <w:top w:w="28" w:type="dxa"/>
              <w:left w:w="28" w:type="dxa"/>
              <w:bottom w:w="28" w:type="dxa"/>
              <w:right w:w="28" w:type="dxa"/>
            </w:tcMar>
            <w:vAlign w:val="center"/>
          </w:tcPr>
          <w:p w14:paraId="3F99C25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7A7636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r>
      <w:tr w14:paraId="5CA66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518" w:type="dxa"/>
            <w:tcBorders>
              <w:tl2br w:val="nil"/>
              <w:tr2bl w:val="nil"/>
            </w:tcBorders>
            <w:noWrap w:val="0"/>
            <w:tcMar>
              <w:top w:w="28" w:type="dxa"/>
              <w:left w:w="28" w:type="dxa"/>
              <w:bottom w:w="28" w:type="dxa"/>
              <w:right w:w="28" w:type="dxa"/>
            </w:tcMar>
            <w:vAlign w:val="center"/>
          </w:tcPr>
          <w:p w14:paraId="3D880B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w:t>
            </w:r>
          </w:p>
        </w:tc>
        <w:tc>
          <w:tcPr>
            <w:tcW w:w="988" w:type="dxa"/>
            <w:vMerge w:val="restart"/>
            <w:tcBorders>
              <w:tl2br w:val="nil"/>
              <w:tr2bl w:val="nil"/>
            </w:tcBorders>
            <w:noWrap w:val="0"/>
            <w:tcMar>
              <w:top w:w="28" w:type="dxa"/>
              <w:left w:w="28" w:type="dxa"/>
              <w:bottom w:w="28" w:type="dxa"/>
              <w:right w:w="28" w:type="dxa"/>
            </w:tcMar>
            <w:vAlign w:val="center"/>
          </w:tcPr>
          <w:p w14:paraId="5355C7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snapToGrid w:val="0"/>
                <w:color w:val="auto"/>
                <w:spacing w:val="0"/>
                <w:kern w:val="21"/>
                <w:sz w:val="22"/>
                <w:szCs w:val="22"/>
                <w:lang w:val="en-US" w:eastAsia="zh-CN"/>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36D37E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强化用工服务</w:t>
            </w:r>
          </w:p>
        </w:tc>
        <w:tc>
          <w:tcPr>
            <w:tcW w:w="4992" w:type="dxa"/>
            <w:tcBorders>
              <w:tl2br w:val="nil"/>
              <w:tr2bl w:val="nil"/>
            </w:tcBorders>
            <w:noWrap w:val="0"/>
            <w:tcMar>
              <w:top w:w="28" w:type="dxa"/>
              <w:left w:w="28" w:type="dxa"/>
              <w:bottom w:w="28" w:type="dxa"/>
              <w:right w:w="28" w:type="dxa"/>
            </w:tcMar>
            <w:vAlign w:val="center"/>
          </w:tcPr>
          <w:p w14:paraId="3AB550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持续开展“就业暖心·桂在行动”专项服务活动，以区内重点产业、重点园区、重点企业为主，加大招聘活动力度，常态化开展“点对点”送工服务，提高公共就业服务质量。</w:t>
            </w:r>
          </w:p>
        </w:tc>
        <w:tc>
          <w:tcPr>
            <w:tcW w:w="2251" w:type="dxa"/>
            <w:tcBorders>
              <w:tl2br w:val="nil"/>
              <w:tr2bl w:val="nil"/>
            </w:tcBorders>
            <w:noWrap w:val="0"/>
            <w:tcMar>
              <w:top w:w="28" w:type="dxa"/>
              <w:left w:w="28" w:type="dxa"/>
              <w:bottom w:w="28" w:type="dxa"/>
              <w:right w:w="28" w:type="dxa"/>
            </w:tcMar>
            <w:vAlign w:val="center"/>
          </w:tcPr>
          <w:p w14:paraId="49BDAA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02E968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692C861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D3F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jc w:val="center"/>
        </w:trPr>
        <w:tc>
          <w:tcPr>
            <w:tcW w:w="518" w:type="dxa"/>
            <w:tcBorders>
              <w:tl2br w:val="nil"/>
              <w:tr2bl w:val="nil"/>
            </w:tcBorders>
            <w:noWrap w:val="0"/>
            <w:tcMar>
              <w:top w:w="28" w:type="dxa"/>
              <w:left w:w="28" w:type="dxa"/>
              <w:bottom w:w="28" w:type="dxa"/>
              <w:right w:w="28" w:type="dxa"/>
            </w:tcMar>
            <w:vAlign w:val="center"/>
          </w:tcPr>
          <w:p w14:paraId="0D6864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w:t>
            </w:r>
          </w:p>
        </w:tc>
        <w:tc>
          <w:tcPr>
            <w:tcW w:w="988" w:type="dxa"/>
            <w:vMerge w:val="continue"/>
            <w:tcBorders>
              <w:tl2br w:val="nil"/>
              <w:tr2bl w:val="nil"/>
            </w:tcBorders>
            <w:noWrap w:val="0"/>
            <w:tcMar>
              <w:top w:w="28" w:type="dxa"/>
              <w:left w:w="28" w:type="dxa"/>
              <w:bottom w:w="28" w:type="dxa"/>
              <w:right w:w="28" w:type="dxa"/>
            </w:tcMar>
            <w:vAlign w:val="center"/>
          </w:tcPr>
          <w:p w14:paraId="505D48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68056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强化就业信息服务</w:t>
            </w:r>
          </w:p>
        </w:tc>
        <w:tc>
          <w:tcPr>
            <w:tcW w:w="4992" w:type="dxa"/>
            <w:tcBorders>
              <w:tl2br w:val="nil"/>
              <w:tr2bl w:val="nil"/>
            </w:tcBorders>
            <w:noWrap w:val="0"/>
            <w:tcMar>
              <w:top w:w="28" w:type="dxa"/>
              <w:left w:w="28" w:type="dxa"/>
              <w:bottom w:w="28" w:type="dxa"/>
              <w:right w:w="28" w:type="dxa"/>
            </w:tcMar>
            <w:vAlign w:val="center"/>
          </w:tcPr>
          <w:p w14:paraId="68DAC0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就业信息服务，持续优化广西就业平台功能，打造高效便捷的用工服务平台。持续推行重点企业人社服务专员工作机制，主动靠前，服务下沉，发挥“管家”作用，服务好企业招工用工、宣传好惠企政策、构建和谐劳动关系，持续优化营商环境。</w:t>
            </w:r>
          </w:p>
        </w:tc>
        <w:tc>
          <w:tcPr>
            <w:tcW w:w="2251" w:type="dxa"/>
            <w:tcBorders>
              <w:tl2br w:val="nil"/>
              <w:tr2bl w:val="nil"/>
            </w:tcBorders>
            <w:noWrap w:val="0"/>
            <w:tcMar>
              <w:top w:w="28" w:type="dxa"/>
              <w:left w:w="28" w:type="dxa"/>
              <w:bottom w:w="28" w:type="dxa"/>
              <w:right w:w="28" w:type="dxa"/>
            </w:tcMar>
            <w:vAlign w:val="center"/>
          </w:tcPr>
          <w:p w14:paraId="0D74AD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76DB15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0479E6F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A55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518" w:type="dxa"/>
            <w:tcBorders>
              <w:tl2br w:val="nil"/>
              <w:tr2bl w:val="nil"/>
            </w:tcBorders>
            <w:noWrap w:val="0"/>
            <w:tcMar>
              <w:top w:w="28" w:type="dxa"/>
              <w:left w:w="28" w:type="dxa"/>
              <w:bottom w:w="28" w:type="dxa"/>
              <w:right w:w="28" w:type="dxa"/>
            </w:tcMar>
            <w:vAlign w:val="center"/>
          </w:tcPr>
          <w:p w14:paraId="465DD85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w:t>
            </w:r>
          </w:p>
        </w:tc>
        <w:tc>
          <w:tcPr>
            <w:tcW w:w="988" w:type="dxa"/>
            <w:vMerge w:val="continue"/>
            <w:tcBorders>
              <w:tl2br w:val="nil"/>
              <w:tr2bl w:val="nil"/>
            </w:tcBorders>
            <w:noWrap w:val="0"/>
            <w:tcMar>
              <w:top w:w="28" w:type="dxa"/>
              <w:left w:w="28" w:type="dxa"/>
              <w:bottom w:w="28" w:type="dxa"/>
              <w:right w:w="28" w:type="dxa"/>
            </w:tcMar>
            <w:vAlign w:val="center"/>
          </w:tcPr>
          <w:p w14:paraId="296359A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C6BE6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强化人才培养</w:t>
            </w:r>
          </w:p>
        </w:tc>
        <w:tc>
          <w:tcPr>
            <w:tcW w:w="4992" w:type="dxa"/>
            <w:tcBorders>
              <w:tl2br w:val="nil"/>
              <w:tr2bl w:val="nil"/>
            </w:tcBorders>
            <w:noWrap w:val="0"/>
            <w:tcMar>
              <w:top w:w="28" w:type="dxa"/>
              <w:left w:w="28" w:type="dxa"/>
              <w:bottom w:w="28" w:type="dxa"/>
              <w:right w:w="28" w:type="dxa"/>
            </w:tcMar>
            <w:vAlign w:val="center"/>
          </w:tcPr>
          <w:p w14:paraId="63A117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根据自治区党委人才工作领导小组统一部署，优化实施广西杰出人才、八桂学者、自治区特聘专家、八桂青年拔尖人才、广西人才小高地等新一轮自治区重大人才项目。</w:t>
            </w:r>
          </w:p>
        </w:tc>
        <w:tc>
          <w:tcPr>
            <w:tcW w:w="2251" w:type="dxa"/>
            <w:tcBorders>
              <w:tl2br w:val="nil"/>
              <w:tr2bl w:val="nil"/>
            </w:tcBorders>
            <w:noWrap w:val="0"/>
            <w:tcMar>
              <w:top w:w="28" w:type="dxa"/>
              <w:left w:w="28" w:type="dxa"/>
              <w:bottom w:w="28" w:type="dxa"/>
              <w:right w:w="28" w:type="dxa"/>
            </w:tcMar>
            <w:vAlign w:val="center"/>
          </w:tcPr>
          <w:p w14:paraId="0F5DF9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自治区党委组织部</w:t>
            </w:r>
          </w:p>
        </w:tc>
        <w:tc>
          <w:tcPr>
            <w:tcW w:w="2309" w:type="dxa"/>
            <w:tcBorders>
              <w:tl2br w:val="nil"/>
              <w:tr2bl w:val="nil"/>
            </w:tcBorders>
            <w:noWrap w:val="0"/>
            <w:tcMar>
              <w:top w:w="28" w:type="dxa"/>
              <w:left w:w="28" w:type="dxa"/>
              <w:bottom w:w="28" w:type="dxa"/>
              <w:right w:w="28" w:type="dxa"/>
            </w:tcMar>
            <w:vAlign w:val="center"/>
          </w:tcPr>
          <w:p w14:paraId="319D55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自治区教育厅、科技厅、人力资源社会保障厅</w:t>
            </w:r>
          </w:p>
        </w:tc>
      </w:tr>
      <w:tr w14:paraId="25E5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518" w:type="dxa"/>
            <w:tcBorders>
              <w:tl2br w:val="nil"/>
              <w:tr2bl w:val="nil"/>
            </w:tcBorders>
            <w:noWrap w:val="0"/>
            <w:tcMar>
              <w:top w:w="28" w:type="dxa"/>
              <w:left w:w="28" w:type="dxa"/>
              <w:bottom w:w="28" w:type="dxa"/>
              <w:right w:w="28" w:type="dxa"/>
            </w:tcMar>
            <w:vAlign w:val="center"/>
          </w:tcPr>
          <w:p w14:paraId="3E4887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w:t>
            </w:r>
          </w:p>
        </w:tc>
        <w:tc>
          <w:tcPr>
            <w:tcW w:w="988" w:type="dxa"/>
            <w:vMerge w:val="continue"/>
            <w:tcBorders>
              <w:tl2br w:val="nil"/>
              <w:tr2bl w:val="nil"/>
            </w:tcBorders>
            <w:noWrap w:val="0"/>
            <w:tcMar>
              <w:top w:w="28" w:type="dxa"/>
              <w:left w:w="28" w:type="dxa"/>
              <w:bottom w:w="28" w:type="dxa"/>
              <w:right w:w="28" w:type="dxa"/>
            </w:tcMar>
            <w:vAlign w:val="center"/>
          </w:tcPr>
          <w:p w14:paraId="39D9070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B33D5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加强高技能人才工作</w:t>
            </w:r>
          </w:p>
        </w:tc>
        <w:tc>
          <w:tcPr>
            <w:tcW w:w="4992" w:type="dxa"/>
            <w:tcBorders>
              <w:tl2br w:val="nil"/>
              <w:tr2bl w:val="nil"/>
            </w:tcBorders>
            <w:noWrap w:val="0"/>
            <w:tcMar>
              <w:top w:w="28" w:type="dxa"/>
              <w:left w:w="28" w:type="dxa"/>
              <w:bottom w:w="28" w:type="dxa"/>
              <w:right w:w="28" w:type="dxa"/>
            </w:tcMar>
            <w:vAlign w:val="center"/>
          </w:tcPr>
          <w:p w14:paraId="129F7AC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深入实施“技能广西行动”，全年开展各类补贴性职业技能培训15万人次，提升劳动者技能水平，举办第三届广西职业技能大赛，激励广大劳动者技能成才，助力经济社会高质量发展。</w:t>
            </w:r>
          </w:p>
        </w:tc>
        <w:tc>
          <w:tcPr>
            <w:tcW w:w="2251" w:type="dxa"/>
            <w:tcBorders>
              <w:tl2br w:val="nil"/>
              <w:tr2bl w:val="nil"/>
            </w:tcBorders>
            <w:noWrap w:val="0"/>
            <w:tcMar>
              <w:top w:w="28" w:type="dxa"/>
              <w:left w:w="28" w:type="dxa"/>
              <w:bottom w:w="28" w:type="dxa"/>
              <w:right w:w="28" w:type="dxa"/>
            </w:tcMar>
            <w:vAlign w:val="center"/>
          </w:tcPr>
          <w:p w14:paraId="1A852F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480DE7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0F70C2B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自治区教育厅、科技厅</w:t>
            </w:r>
          </w:p>
        </w:tc>
      </w:tr>
      <w:tr w14:paraId="461E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8840D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w:t>
            </w:r>
          </w:p>
        </w:tc>
        <w:tc>
          <w:tcPr>
            <w:tcW w:w="988" w:type="dxa"/>
            <w:vMerge w:val="continue"/>
            <w:tcBorders>
              <w:tl2br w:val="nil"/>
              <w:tr2bl w:val="nil"/>
            </w:tcBorders>
            <w:noWrap w:val="0"/>
            <w:tcMar>
              <w:top w:w="28" w:type="dxa"/>
              <w:left w:w="28" w:type="dxa"/>
              <w:bottom w:w="28" w:type="dxa"/>
              <w:right w:w="28" w:type="dxa"/>
            </w:tcMar>
            <w:vAlign w:val="center"/>
          </w:tcPr>
          <w:p w14:paraId="0E95FB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AACA8D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加强职业技能培训</w:t>
            </w:r>
          </w:p>
        </w:tc>
        <w:tc>
          <w:tcPr>
            <w:tcW w:w="4992" w:type="dxa"/>
            <w:tcBorders>
              <w:tl2br w:val="nil"/>
              <w:tr2bl w:val="nil"/>
            </w:tcBorders>
            <w:noWrap w:val="0"/>
            <w:tcMar>
              <w:top w:w="28" w:type="dxa"/>
              <w:left w:w="28" w:type="dxa"/>
              <w:bottom w:w="28" w:type="dxa"/>
              <w:right w:w="28" w:type="dxa"/>
            </w:tcMar>
            <w:vAlign w:val="center"/>
          </w:tcPr>
          <w:p w14:paraId="2E94C0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完成职业技能培训目标任务。</w:t>
            </w:r>
          </w:p>
        </w:tc>
        <w:tc>
          <w:tcPr>
            <w:tcW w:w="2251" w:type="dxa"/>
            <w:tcBorders>
              <w:tl2br w:val="nil"/>
              <w:tr2bl w:val="nil"/>
            </w:tcBorders>
            <w:noWrap w:val="0"/>
            <w:tcMar>
              <w:top w:w="28" w:type="dxa"/>
              <w:left w:w="28" w:type="dxa"/>
              <w:bottom w:w="28" w:type="dxa"/>
              <w:right w:w="28" w:type="dxa"/>
            </w:tcMar>
            <w:vAlign w:val="center"/>
          </w:tcPr>
          <w:p w14:paraId="288C23C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68B2551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1402CED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8DC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518" w:type="dxa"/>
            <w:tcBorders>
              <w:tl2br w:val="nil"/>
              <w:tr2bl w:val="nil"/>
            </w:tcBorders>
            <w:noWrap w:val="0"/>
            <w:tcMar>
              <w:top w:w="28" w:type="dxa"/>
              <w:left w:w="28" w:type="dxa"/>
              <w:bottom w:w="28" w:type="dxa"/>
              <w:right w:w="28" w:type="dxa"/>
            </w:tcMar>
            <w:vAlign w:val="center"/>
          </w:tcPr>
          <w:p w14:paraId="5EA7941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w:t>
            </w:r>
          </w:p>
        </w:tc>
        <w:tc>
          <w:tcPr>
            <w:tcW w:w="988" w:type="dxa"/>
            <w:vMerge w:val="continue"/>
            <w:tcBorders>
              <w:tl2br w:val="nil"/>
              <w:tr2bl w:val="nil"/>
            </w:tcBorders>
            <w:noWrap w:val="0"/>
            <w:tcMar>
              <w:top w:w="28" w:type="dxa"/>
              <w:left w:w="28" w:type="dxa"/>
              <w:bottom w:w="28" w:type="dxa"/>
              <w:right w:w="28" w:type="dxa"/>
            </w:tcMar>
            <w:vAlign w:val="center"/>
          </w:tcPr>
          <w:p w14:paraId="77382F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72A5F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开展2024届高校毕业生就业工作</w:t>
            </w:r>
          </w:p>
        </w:tc>
        <w:tc>
          <w:tcPr>
            <w:tcW w:w="4992" w:type="dxa"/>
            <w:tcBorders>
              <w:tl2br w:val="nil"/>
              <w:tr2bl w:val="nil"/>
            </w:tcBorders>
            <w:noWrap w:val="0"/>
            <w:tcMar>
              <w:top w:w="28" w:type="dxa"/>
              <w:left w:w="28" w:type="dxa"/>
              <w:bottom w:w="28" w:type="dxa"/>
              <w:right w:w="28" w:type="dxa"/>
            </w:tcMar>
            <w:vAlign w:val="center"/>
          </w:tcPr>
          <w:p w14:paraId="554789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开展高校毕业生“留桂就业计划”，充分挖掘拓展优质就业岗位资源。着力提升就业指导服务水平，大力开展“高校毕业生招聘季”、“千企万岗进校园”招聘活动。</w:t>
            </w:r>
          </w:p>
        </w:tc>
        <w:tc>
          <w:tcPr>
            <w:tcW w:w="2251" w:type="dxa"/>
            <w:tcBorders>
              <w:tl2br w:val="nil"/>
              <w:tr2bl w:val="nil"/>
            </w:tcBorders>
            <w:noWrap w:val="0"/>
            <w:tcMar>
              <w:top w:w="28" w:type="dxa"/>
              <w:left w:w="28" w:type="dxa"/>
              <w:bottom w:w="28" w:type="dxa"/>
              <w:right w:w="28" w:type="dxa"/>
            </w:tcMar>
            <w:vAlign w:val="center"/>
          </w:tcPr>
          <w:p w14:paraId="7C3DF0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5C8AC0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w:t>
            </w:r>
          </w:p>
          <w:p w14:paraId="239D14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资源社会保障厅</w:t>
            </w:r>
          </w:p>
        </w:tc>
      </w:tr>
      <w:tr w14:paraId="6789A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jc w:val="center"/>
        </w:trPr>
        <w:tc>
          <w:tcPr>
            <w:tcW w:w="518" w:type="dxa"/>
            <w:tcBorders>
              <w:tl2br w:val="nil"/>
              <w:tr2bl w:val="nil"/>
            </w:tcBorders>
            <w:noWrap w:val="0"/>
            <w:tcMar>
              <w:top w:w="28" w:type="dxa"/>
              <w:left w:w="28" w:type="dxa"/>
              <w:bottom w:w="28" w:type="dxa"/>
              <w:right w:w="28" w:type="dxa"/>
            </w:tcMar>
            <w:vAlign w:val="center"/>
          </w:tcPr>
          <w:p w14:paraId="630A82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w:t>
            </w:r>
          </w:p>
        </w:tc>
        <w:tc>
          <w:tcPr>
            <w:tcW w:w="988" w:type="dxa"/>
            <w:vMerge w:val="restart"/>
            <w:tcBorders>
              <w:tl2br w:val="nil"/>
              <w:tr2bl w:val="nil"/>
            </w:tcBorders>
            <w:noWrap w:val="0"/>
            <w:tcMar>
              <w:top w:w="28" w:type="dxa"/>
              <w:left w:w="28" w:type="dxa"/>
              <w:bottom w:w="28" w:type="dxa"/>
              <w:right w:w="28" w:type="dxa"/>
            </w:tcMar>
            <w:vAlign w:val="center"/>
          </w:tcPr>
          <w:p w14:paraId="6BEF5A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4474D5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打造高端人才集聚洼地</w:t>
            </w:r>
          </w:p>
        </w:tc>
        <w:tc>
          <w:tcPr>
            <w:tcW w:w="4992" w:type="dxa"/>
            <w:tcBorders>
              <w:tl2br w:val="nil"/>
              <w:tr2bl w:val="nil"/>
            </w:tcBorders>
            <w:noWrap w:val="0"/>
            <w:tcMar>
              <w:top w:w="28" w:type="dxa"/>
              <w:left w:w="28" w:type="dxa"/>
              <w:bottom w:w="28" w:type="dxa"/>
              <w:right w:w="28" w:type="dxa"/>
            </w:tcMar>
            <w:vAlign w:val="center"/>
          </w:tcPr>
          <w:p w14:paraId="552979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调研重点领域人才需求，编制广西重点产业急需紧缺人才目录；依托广西高层次人才“一站式”服务平台，配合做好新一轮自治区高层次人才认定申报工作，为引进到广西工作的高层次人才提供工作、生活等政策待遇落实相关服务，增强人才的归属感，营造良好的人才环境。</w:t>
            </w:r>
          </w:p>
        </w:tc>
        <w:tc>
          <w:tcPr>
            <w:tcW w:w="2251" w:type="dxa"/>
            <w:tcBorders>
              <w:tl2br w:val="nil"/>
              <w:tr2bl w:val="nil"/>
            </w:tcBorders>
            <w:noWrap w:val="0"/>
            <w:tcMar>
              <w:top w:w="28" w:type="dxa"/>
              <w:left w:w="28" w:type="dxa"/>
              <w:bottom w:w="28" w:type="dxa"/>
              <w:right w:w="28" w:type="dxa"/>
            </w:tcMar>
            <w:vAlign w:val="center"/>
          </w:tcPr>
          <w:p w14:paraId="339196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2615D4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396D410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6CE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jc w:val="center"/>
        </w:trPr>
        <w:tc>
          <w:tcPr>
            <w:tcW w:w="518" w:type="dxa"/>
            <w:tcBorders>
              <w:tl2br w:val="nil"/>
              <w:tr2bl w:val="nil"/>
            </w:tcBorders>
            <w:noWrap w:val="0"/>
            <w:tcMar>
              <w:top w:w="28" w:type="dxa"/>
              <w:left w:w="28" w:type="dxa"/>
              <w:bottom w:w="28" w:type="dxa"/>
              <w:right w:w="28" w:type="dxa"/>
            </w:tcMar>
            <w:vAlign w:val="center"/>
          </w:tcPr>
          <w:p w14:paraId="447530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w:t>
            </w:r>
          </w:p>
        </w:tc>
        <w:tc>
          <w:tcPr>
            <w:tcW w:w="988" w:type="dxa"/>
            <w:vMerge w:val="continue"/>
            <w:tcBorders>
              <w:tl2br w:val="nil"/>
              <w:tr2bl w:val="nil"/>
            </w:tcBorders>
            <w:noWrap w:val="0"/>
            <w:tcMar>
              <w:top w:w="28" w:type="dxa"/>
              <w:left w:w="28" w:type="dxa"/>
              <w:bottom w:w="28" w:type="dxa"/>
              <w:right w:w="28" w:type="dxa"/>
            </w:tcMar>
            <w:vAlign w:val="center"/>
          </w:tcPr>
          <w:p w14:paraId="7FC82B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6583D5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拓宽技能人才招聘渠道</w:t>
            </w:r>
          </w:p>
        </w:tc>
        <w:tc>
          <w:tcPr>
            <w:tcW w:w="4992" w:type="dxa"/>
            <w:tcBorders>
              <w:tl2br w:val="nil"/>
              <w:tr2bl w:val="nil"/>
            </w:tcBorders>
            <w:noWrap w:val="0"/>
            <w:tcMar>
              <w:top w:w="28" w:type="dxa"/>
              <w:left w:w="28" w:type="dxa"/>
              <w:bottom w:w="28" w:type="dxa"/>
              <w:right w:w="28" w:type="dxa"/>
            </w:tcMar>
            <w:vAlign w:val="center"/>
          </w:tcPr>
          <w:p w14:paraId="3A9A5B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就近就业”宣传，督促指导地方人民政府、园区管委会或商协会组织动员当地农民参加用工招聘，鼓励在外务工人员回桂就业，组织引导企业与我区高职院校签订联合培养人才“订单班”协议，进一步密切企业与高校毕业生供需衔接，探索“共享用工”新模式，鼓励企业间在用工余缺上进行调剂合作，提升人力资源配置效率。</w:t>
            </w:r>
          </w:p>
        </w:tc>
        <w:tc>
          <w:tcPr>
            <w:tcW w:w="2251" w:type="dxa"/>
            <w:tcBorders>
              <w:tl2br w:val="nil"/>
              <w:tr2bl w:val="nil"/>
            </w:tcBorders>
            <w:noWrap w:val="0"/>
            <w:tcMar>
              <w:top w:w="28" w:type="dxa"/>
              <w:left w:w="28" w:type="dxa"/>
              <w:bottom w:w="28" w:type="dxa"/>
              <w:right w:w="28" w:type="dxa"/>
            </w:tcMar>
            <w:vAlign w:val="center"/>
          </w:tcPr>
          <w:p w14:paraId="3C6B1C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2ABEEB3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6C367B1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r>
      <w:tr w14:paraId="6C90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jc w:val="center"/>
        </w:trPr>
        <w:tc>
          <w:tcPr>
            <w:tcW w:w="518" w:type="dxa"/>
            <w:tcBorders>
              <w:tl2br w:val="nil"/>
              <w:tr2bl w:val="nil"/>
            </w:tcBorders>
            <w:noWrap w:val="0"/>
            <w:tcMar>
              <w:top w:w="28" w:type="dxa"/>
              <w:left w:w="28" w:type="dxa"/>
              <w:bottom w:w="28" w:type="dxa"/>
              <w:right w:w="28" w:type="dxa"/>
            </w:tcMar>
            <w:vAlign w:val="center"/>
          </w:tcPr>
          <w:p w14:paraId="4BF9B0B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w:t>
            </w:r>
          </w:p>
        </w:tc>
        <w:tc>
          <w:tcPr>
            <w:tcW w:w="988" w:type="dxa"/>
            <w:vMerge w:val="continue"/>
            <w:tcBorders>
              <w:tl2br w:val="nil"/>
              <w:tr2bl w:val="nil"/>
            </w:tcBorders>
            <w:noWrap w:val="0"/>
            <w:tcMar>
              <w:top w:w="28" w:type="dxa"/>
              <w:left w:w="28" w:type="dxa"/>
              <w:bottom w:w="28" w:type="dxa"/>
              <w:right w:w="28" w:type="dxa"/>
            </w:tcMar>
            <w:vAlign w:val="center"/>
          </w:tcPr>
          <w:p w14:paraId="79A51F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0614C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提高人才政策“含金量”</w:t>
            </w:r>
          </w:p>
        </w:tc>
        <w:tc>
          <w:tcPr>
            <w:tcW w:w="4992" w:type="dxa"/>
            <w:tcBorders>
              <w:tl2br w:val="nil"/>
              <w:tr2bl w:val="nil"/>
            </w:tcBorders>
            <w:noWrap w:val="0"/>
            <w:tcMar>
              <w:top w:w="28" w:type="dxa"/>
              <w:left w:w="28" w:type="dxa"/>
              <w:bottom w:w="28" w:type="dxa"/>
              <w:right w:w="28" w:type="dxa"/>
            </w:tcMar>
            <w:vAlign w:val="center"/>
          </w:tcPr>
          <w:p w14:paraId="71CC568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人才落户政策，围绕人才落户、购房、子女入学等开展全方位帮扶，加大对人才购房的补贴力度，增加公租房供给，让人才能够安居乐业。探索实行人才双重认定机制，允许部分规模企业在限额范围内自行评定企业核心人才，建立健全新兴产业职称评审直通车机制，符合条件的人才可直接申报高级职称，对特殊人才开通职称评审“快车道”。构建充分体现知识、技术等创新要素价值的收益分配机制，更好服务企业和人才扎根广西。</w:t>
            </w:r>
          </w:p>
        </w:tc>
        <w:tc>
          <w:tcPr>
            <w:tcW w:w="2251" w:type="dxa"/>
            <w:tcBorders>
              <w:tl2br w:val="nil"/>
              <w:tr2bl w:val="nil"/>
            </w:tcBorders>
            <w:noWrap w:val="0"/>
            <w:tcMar>
              <w:top w:w="28" w:type="dxa"/>
              <w:left w:w="28" w:type="dxa"/>
              <w:bottom w:w="28" w:type="dxa"/>
              <w:right w:w="28" w:type="dxa"/>
            </w:tcMar>
            <w:vAlign w:val="center"/>
          </w:tcPr>
          <w:p w14:paraId="0D0ED6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自治区党委组织部</w:t>
            </w:r>
          </w:p>
        </w:tc>
        <w:tc>
          <w:tcPr>
            <w:tcW w:w="2309" w:type="dxa"/>
            <w:tcBorders>
              <w:tl2br w:val="nil"/>
              <w:tr2bl w:val="nil"/>
            </w:tcBorders>
            <w:noWrap w:val="0"/>
            <w:tcMar>
              <w:top w:w="28" w:type="dxa"/>
              <w:left w:w="28" w:type="dxa"/>
              <w:bottom w:w="28" w:type="dxa"/>
              <w:right w:w="28" w:type="dxa"/>
            </w:tcMar>
            <w:vAlign w:val="center"/>
          </w:tcPr>
          <w:p w14:paraId="310E0C3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自治区教育厅、公安厅、人力资源社会保障厅、</w:t>
            </w:r>
            <w:r>
              <w:rPr>
                <w:rFonts w:hint="eastAsia" w:eastAsia="方正书宋_GBK" w:cs="方正书宋_GBK"/>
                <w:i w:val="0"/>
                <w:snapToGrid w:val="0"/>
                <w:color w:val="auto"/>
                <w:spacing w:val="0"/>
                <w:kern w:val="21"/>
                <w:sz w:val="22"/>
                <w:szCs w:val="22"/>
                <w:u w:val="none"/>
                <w:lang w:val="en-US" w:eastAsia="zh-CN" w:bidi="ar"/>
              </w:rPr>
              <w:t>住房和城乡建设厅</w:t>
            </w:r>
          </w:p>
        </w:tc>
      </w:tr>
      <w:tr w14:paraId="58FEA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DE241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w:t>
            </w:r>
          </w:p>
        </w:tc>
        <w:tc>
          <w:tcPr>
            <w:tcW w:w="988" w:type="dxa"/>
            <w:vMerge w:val="continue"/>
            <w:tcBorders>
              <w:tl2br w:val="nil"/>
              <w:tr2bl w:val="nil"/>
            </w:tcBorders>
            <w:noWrap w:val="0"/>
            <w:tcMar>
              <w:top w:w="28" w:type="dxa"/>
              <w:left w:w="28" w:type="dxa"/>
              <w:bottom w:w="28" w:type="dxa"/>
              <w:right w:w="28" w:type="dxa"/>
            </w:tcMar>
            <w:vAlign w:val="center"/>
          </w:tcPr>
          <w:p w14:paraId="15787B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2D174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推动人才政策落实</w:t>
            </w:r>
          </w:p>
        </w:tc>
        <w:tc>
          <w:tcPr>
            <w:tcW w:w="4992" w:type="dxa"/>
            <w:tcBorders>
              <w:tl2br w:val="nil"/>
              <w:tr2bl w:val="nil"/>
            </w:tcBorders>
            <w:noWrap w:val="0"/>
            <w:tcMar>
              <w:top w:w="28" w:type="dxa"/>
              <w:left w:w="28" w:type="dxa"/>
              <w:bottom w:w="28" w:type="dxa"/>
              <w:right w:w="28" w:type="dxa"/>
            </w:tcMar>
            <w:vAlign w:val="center"/>
          </w:tcPr>
          <w:p w14:paraId="4DE71F1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对符合条件的人才实现政策“即申即享”。</w:t>
            </w:r>
          </w:p>
        </w:tc>
        <w:tc>
          <w:tcPr>
            <w:tcW w:w="2251" w:type="dxa"/>
            <w:tcBorders>
              <w:tl2br w:val="nil"/>
              <w:tr2bl w:val="nil"/>
            </w:tcBorders>
            <w:noWrap w:val="0"/>
            <w:tcMar>
              <w:top w:w="28" w:type="dxa"/>
              <w:left w:w="28" w:type="dxa"/>
              <w:bottom w:w="28" w:type="dxa"/>
              <w:right w:w="28" w:type="dxa"/>
            </w:tcMar>
            <w:vAlign w:val="center"/>
          </w:tcPr>
          <w:p w14:paraId="158039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0788B38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118167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351A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jc w:val="center"/>
        </w:trPr>
        <w:tc>
          <w:tcPr>
            <w:tcW w:w="518" w:type="dxa"/>
            <w:tcBorders>
              <w:tl2br w:val="nil"/>
              <w:tr2bl w:val="nil"/>
            </w:tcBorders>
            <w:noWrap w:val="0"/>
            <w:tcMar>
              <w:top w:w="28" w:type="dxa"/>
              <w:left w:w="28" w:type="dxa"/>
              <w:bottom w:w="28" w:type="dxa"/>
              <w:right w:w="28" w:type="dxa"/>
            </w:tcMar>
            <w:vAlign w:val="center"/>
          </w:tcPr>
          <w:p w14:paraId="6266A6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w:t>
            </w:r>
          </w:p>
        </w:tc>
        <w:tc>
          <w:tcPr>
            <w:tcW w:w="988" w:type="dxa"/>
            <w:vMerge w:val="restart"/>
            <w:tcBorders>
              <w:tl2br w:val="nil"/>
              <w:tr2bl w:val="nil"/>
            </w:tcBorders>
            <w:noWrap w:val="0"/>
            <w:tcMar>
              <w:top w:w="28" w:type="dxa"/>
              <w:left w:w="28" w:type="dxa"/>
              <w:bottom w:w="28" w:type="dxa"/>
              <w:right w:w="28" w:type="dxa"/>
            </w:tcMar>
            <w:vAlign w:val="center"/>
          </w:tcPr>
          <w:p w14:paraId="1CE25F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人力资源</w:t>
            </w:r>
          </w:p>
        </w:tc>
        <w:tc>
          <w:tcPr>
            <w:tcW w:w="2038" w:type="dxa"/>
            <w:tcBorders>
              <w:tl2br w:val="nil"/>
              <w:tr2bl w:val="nil"/>
            </w:tcBorders>
            <w:noWrap w:val="0"/>
            <w:tcMar>
              <w:top w:w="28" w:type="dxa"/>
              <w:left w:w="28" w:type="dxa"/>
              <w:bottom w:w="28" w:type="dxa"/>
              <w:right w:w="28" w:type="dxa"/>
            </w:tcMar>
            <w:vAlign w:val="center"/>
          </w:tcPr>
          <w:p w14:paraId="3DCE2D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支持民营企业人才引进</w:t>
            </w:r>
          </w:p>
        </w:tc>
        <w:tc>
          <w:tcPr>
            <w:tcW w:w="4992" w:type="dxa"/>
            <w:tcBorders>
              <w:tl2br w:val="nil"/>
              <w:tr2bl w:val="nil"/>
            </w:tcBorders>
            <w:noWrap w:val="0"/>
            <w:tcMar>
              <w:top w:w="28" w:type="dxa"/>
              <w:left w:w="28" w:type="dxa"/>
              <w:bottom w:w="28" w:type="dxa"/>
              <w:right w:w="28" w:type="dxa"/>
            </w:tcMar>
            <w:vAlign w:val="center"/>
          </w:tcPr>
          <w:p w14:paraId="6409B99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支持民营企业通过技术研发、成果转化、带培带教等方式，柔性引进一批学术技术水平高、急需紧缺的高层次人才。深化职称制度改革，健全市场化人才分类评价机制，在民营企业中探索实行“以薪定才”制度。</w:t>
            </w:r>
          </w:p>
        </w:tc>
        <w:tc>
          <w:tcPr>
            <w:tcW w:w="2251" w:type="dxa"/>
            <w:tcBorders>
              <w:tl2br w:val="nil"/>
              <w:tr2bl w:val="nil"/>
            </w:tcBorders>
            <w:noWrap w:val="0"/>
            <w:tcMar>
              <w:top w:w="28" w:type="dxa"/>
              <w:left w:w="28" w:type="dxa"/>
              <w:bottom w:w="28" w:type="dxa"/>
              <w:right w:w="28" w:type="dxa"/>
            </w:tcMar>
            <w:vAlign w:val="center"/>
          </w:tcPr>
          <w:p w14:paraId="02FA1F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49613A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69159EA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CC7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02DF904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w:t>
            </w:r>
          </w:p>
        </w:tc>
        <w:tc>
          <w:tcPr>
            <w:tcW w:w="988" w:type="dxa"/>
            <w:vMerge w:val="continue"/>
            <w:tcBorders>
              <w:tl2br w:val="nil"/>
              <w:tr2bl w:val="nil"/>
            </w:tcBorders>
            <w:noWrap w:val="0"/>
            <w:tcMar>
              <w:top w:w="28" w:type="dxa"/>
              <w:left w:w="28" w:type="dxa"/>
              <w:bottom w:w="28" w:type="dxa"/>
              <w:right w:w="28" w:type="dxa"/>
            </w:tcMar>
            <w:vAlign w:val="center"/>
          </w:tcPr>
          <w:p w14:paraId="721D0DB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B88E9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着力降低企业用工成本</w:t>
            </w:r>
          </w:p>
        </w:tc>
        <w:tc>
          <w:tcPr>
            <w:tcW w:w="4992" w:type="dxa"/>
            <w:tcBorders>
              <w:tl2br w:val="nil"/>
              <w:tr2bl w:val="nil"/>
            </w:tcBorders>
            <w:noWrap w:val="0"/>
            <w:tcMar>
              <w:top w:w="28" w:type="dxa"/>
              <w:left w:w="28" w:type="dxa"/>
              <w:bottom w:w="28" w:type="dxa"/>
              <w:right w:w="28" w:type="dxa"/>
            </w:tcMar>
            <w:vAlign w:val="center"/>
          </w:tcPr>
          <w:p w14:paraId="35506F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加强职业技能培训，落实相关就业、社保、培训补贴和降费率政策。提高职工技能水平，通过提升劳动力生产率降低企业实际用工成本。</w:t>
            </w:r>
          </w:p>
        </w:tc>
        <w:tc>
          <w:tcPr>
            <w:tcW w:w="2251" w:type="dxa"/>
            <w:tcBorders>
              <w:tl2br w:val="nil"/>
              <w:tr2bl w:val="nil"/>
            </w:tcBorders>
            <w:noWrap w:val="0"/>
            <w:tcMar>
              <w:top w:w="28" w:type="dxa"/>
              <w:left w:w="28" w:type="dxa"/>
              <w:bottom w:w="28" w:type="dxa"/>
              <w:right w:w="28" w:type="dxa"/>
            </w:tcMar>
            <w:vAlign w:val="center"/>
          </w:tcPr>
          <w:p w14:paraId="2269FF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19B059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5DFFB25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8DD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518" w:type="dxa"/>
            <w:tcBorders>
              <w:tl2br w:val="nil"/>
              <w:tr2bl w:val="nil"/>
            </w:tcBorders>
            <w:noWrap w:val="0"/>
            <w:tcMar>
              <w:top w:w="28" w:type="dxa"/>
              <w:left w:w="28" w:type="dxa"/>
              <w:bottom w:w="28" w:type="dxa"/>
              <w:right w:w="28" w:type="dxa"/>
            </w:tcMar>
            <w:vAlign w:val="center"/>
          </w:tcPr>
          <w:p w14:paraId="212DD72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18</w:t>
            </w:r>
          </w:p>
        </w:tc>
        <w:tc>
          <w:tcPr>
            <w:tcW w:w="988" w:type="dxa"/>
            <w:vMerge w:val="continue"/>
            <w:tcBorders>
              <w:tl2br w:val="nil"/>
              <w:tr2bl w:val="nil"/>
            </w:tcBorders>
            <w:noWrap w:val="0"/>
            <w:tcMar>
              <w:top w:w="28" w:type="dxa"/>
              <w:left w:w="28" w:type="dxa"/>
              <w:bottom w:w="28" w:type="dxa"/>
              <w:right w:w="28" w:type="dxa"/>
            </w:tcMar>
            <w:vAlign w:val="center"/>
          </w:tcPr>
          <w:p w14:paraId="2DD2C4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F89F3B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优化劳动争议纠纷处理</w:t>
            </w:r>
          </w:p>
        </w:tc>
        <w:tc>
          <w:tcPr>
            <w:tcW w:w="4992" w:type="dxa"/>
            <w:tcBorders>
              <w:tl2br w:val="nil"/>
              <w:tr2bl w:val="nil"/>
            </w:tcBorders>
            <w:noWrap w:val="0"/>
            <w:tcMar>
              <w:top w:w="28" w:type="dxa"/>
              <w:left w:w="28" w:type="dxa"/>
              <w:bottom w:w="28" w:type="dxa"/>
              <w:right w:w="28" w:type="dxa"/>
            </w:tcMar>
            <w:vAlign w:val="center"/>
          </w:tcPr>
          <w:p w14:paraId="7D3BEA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优化劳动争议纠纷处理机制，提高案件办理效率。</w:t>
            </w:r>
          </w:p>
        </w:tc>
        <w:tc>
          <w:tcPr>
            <w:tcW w:w="2251" w:type="dxa"/>
            <w:tcBorders>
              <w:tl2br w:val="nil"/>
              <w:tr2bl w:val="nil"/>
            </w:tcBorders>
            <w:noWrap w:val="0"/>
            <w:tcMar>
              <w:top w:w="28" w:type="dxa"/>
              <w:left w:w="28" w:type="dxa"/>
              <w:bottom w:w="28" w:type="dxa"/>
              <w:right w:w="28" w:type="dxa"/>
            </w:tcMar>
            <w:vAlign w:val="center"/>
          </w:tcPr>
          <w:p w14:paraId="0A3048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w:t>
            </w:r>
          </w:p>
          <w:p w14:paraId="39D6B7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社会保障厅</w:t>
            </w:r>
          </w:p>
        </w:tc>
        <w:tc>
          <w:tcPr>
            <w:tcW w:w="2309" w:type="dxa"/>
            <w:tcBorders>
              <w:tl2br w:val="nil"/>
              <w:tr2bl w:val="nil"/>
            </w:tcBorders>
            <w:noWrap w:val="0"/>
            <w:tcMar>
              <w:top w:w="28" w:type="dxa"/>
              <w:left w:w="28" w:type="dxa"/>
              <w:bottom w:w="28" w:type="dxa"/>
              <w:right w:w="28" w:type="dxa"/>
            </w:tcMar>
            <w:vAlign w:val="center"/>
          </w:tcPr>
          <w:p w14:paraId="5B8BCB7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4574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4BA42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19</w:t>
            </w:r>
          </w:p>
        </w:tc>
        <w:tc>
          <w:tcPr>
            <w:tcW w:w="988" w:type="dxa"/>
            <w:vMerge w:val="restart"/>
            <w:tcBorders>
              <w:tl2br w:val="nil"/>
              <w:tr2bl w:val="nil"/>
            </w:tcBorders>
            <w:noWrap w:val="0"/>
            <w:tcMar>
              <w:top w:w="28" w:type="dxa"/>
              <w:left w:w="28" w:type="dxa"/>
              <w:bottom w:w="28" w:type="dxa"/>
              <w:right w:w="28" w:type="dxa"/>
            </w:tcMar>
            <w:vAlign w:val="center"/>
          </w:tcPr>
          <w:p w14:paraId="518793C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办理建筑许可</w:t>
            </w:r>
          </w:p>
        </w:tc>
        <w:tc>
          <w:tcPr>
            <w:tcW w:w="2038" w:type="dxa"/>
            <w:tcBorders>
              <w:tl2br w:val="nil"/>
              <w:tr2bl w:val="nil"/>
            </w:tcBorders>
            <w:noWrap w:val="0"/>
            <w:tcMar>
              <w:top w:w="28" w:type="dxa"/>
              <w:left w:w="28" w:type="dxa"/>
              <w:bottom w:w="28" w:type="dxa"/>
              <w:right w:w="28" w:type="dxa"/>
            </w:tcMar>
            <w:vAlign w:val="center"/>
          </w:tcPr>
          <w:p w14:paraId="1BE1E8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提高重大项目用地保障效能</w:t>
            </w:r>
          </w:p>
        </w:tc>
        <w:tc>
          <w:tcPr>
            <w:tcW w:w="4992" w:type="dxa"/>
            <w:tcBorders>
              <w:tl2br w:val="nil"/>
              <w:tr2bl w:val="nil"/>
            </w:tcBorders>
            <w:noWrap w:val="0"/>
            <w:tcMar>
              <w:top w:w="28" w:type="dxa"/>
              <w:left w:w="28" w:type="dxa"/>
              <w:bottom w:w="28" w:type="dxa"/>
              <w:right w:w="28" w:type="dxa"/>
            </w:tcMar>
            <w:vAlign w:val="center"/>
          </w:tcPr>
          <w:p w14:paraId="610A40D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自治区重大项目建设用地全周期服务保障机制，在重大项目遴选、选址选线、用地预审、用地报批、土地供应等重要节点，加强系统谋划、部门联动、优化服务、改进流程，推行管家式项目服务，提高土地资源配置精准度和服务保障效率，支撑重大项目及时开工建设。</w:t>
            </w:r>
          </w:p>
        </w:tc>
        <w:tc>
          <w:tcPr>
            <w:tcW w:w="2251" w:type="dxa"/>
            <w:tcBorders>
              <w:tl2br w:val="nil"/>
              <w:tr2bl w:val="nil"/>
            </w:tcBorders>
            <w:noWrap w:val="0"/>
            <w:tcMar>
              <w:top w:w="28" w:type="dxa"/>
              <w:left w:w="28" w:type="dxa"/>
              <w:bottom w:w="28" w:type="dxa"/>
              <w:right w:w="28" w:type="dxa"/>
            </w:tcMar>
            <w:vAlign w:val="center"/>
          </w:tcPr>
          <w:p w14:paraId="6DA141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p>
        </w:tc>
        <w:tc>
          <w:tcPr>
            <w:tcW w:w="2309" w:type="dxa"/>
            <w:tcBorders>
              <w:tl2br w:val="nil"/>
              <w:tr2bl w:val="nil"/>
            </w:tcBorders>
            <w:noWrap w:val="0"/>
            <w:tcMar>
              <w:top w:w="28" w:type="dxa"/>
              <w:left w:w="28" w:type="dxa"/>
              <w:bottom w:w="28" w:type="dxa"/>
              <w:right w:w="28" w:type="dxa"/>
            </w:tcMar>
            <w:vAlign w:val="center"/>
          </w:tcPr>
          <w:p w14:paraId="591792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自治区发展改革委、工业</w:t>
            </w:r>
            <w:r>
              <w:rPr>
                <w:rFonts w:hint="eastAsia" w:ascii="Times New Roman" w:hAnsi="Times New Roman" w:eastAsia="方正书宋_GBK" w:cs="方正书宋_GBK"/>
                <w:i w:val="0"/>
                <w:snapToGrid w:val="0"/>
                <w:color w:val="auto"/>
                <w:spacing w:val="0"/>
                <w:kern w:val="21"/>
                <w:sz w:val="22"/>
                <w:szCs w:val="22"/>
                <w:u w:val="none"/>
                <w:lang w:val="en-US" w:eastAsia="zh-CN" w:bidi="ar"/>
              </w:rPr>
              <w:t>和信息化厅、交通运输厅，各市、县人民政府</w:t>
            </w:r>
          </w:p>
        </w:tc>
      </w:tr>
      <w:tr w14:paraId="1E01F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jc w:val="center"/>
        </w:trPr>
        <w:tc>
          <w:tcPr>
            <w:tcW w:w="518" w:type="dxa"/>
            <w:tcBorders>
              <w:tl2br w:val="nil"/>
              <w:tr2bl w:val="nil"/>
            </w:tcBorders>
            <w:noWrap w:val="0"/>
            <w:tcMar>
              <w:top w:w="28" w:type="dxa"/>
              <w:left w:w="28" w:type="dxa"/>
              <w:bottom w:w="28" w:type="dxa"/>
              <w:right w:w="28" w:type="dxa"/>
            </w:tcMar>
            <w:vAlign w:val="center"/>
          </w:tcPr>
          <w:p w14:paraId="7566AE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w:t>
            </w:r>
          </w:p>
        </w:tc>
        <w:tc>
          <w:tcPr>
            <w:tcW w:w="988" w:type="dxa"/>
            <w:vMerge w:val="continue"/>
            <w:tcBorders>
              <w:tl2br w:val="nil"/>
              <w:tr2bl w:val="nil"/>
            </w:tcBorders>
            <w:noWrap w:val="0"/>
            <w:tcMar>
              <w:top w:w="28" w:type="dxa"/>
              <w:left w:w="28" w:type="dxa"/>
              <w:bottom w:w="28" w:type="dxa"/>
              <w:right w:w="28" w:type="dxa"/>
            </w:tcMar>
            <w:vAlign w:val="center"/>
          </w:tcPr>
          <w:p w14:paraId="00ABEC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5384F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全面推行工业项目“标准地”改革</w:t>
            </w:r>
          </w:p>
        </w:tc>
        <w:tc>
          <w:tcPr>
            <w:tcW w:w="4992" w:type="dxa"/>
            <w:tcBorders>
              <w:tl2br w:val="nil"/>
              <w:tr2bl w:val="nil"/>
            </w:tcBorders>
            <w:noWrap w:val="0"/>
            <w:tcMar>
              <w:top w:w="28" w:type="dxa"/>
              <w:left w:w="28" w:type="dxa"/>
              <w:bottom w:w="28" w:type="dxa"/>
              <w:right w:w="28" w:type="dxa"/>
            </w:tcMar>
            <w:vAlign w:val="center"/>
          </w:tcPr>
          <w:p w14:paraId="31FDF5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工业项目“标准地”改革，有序推进“标准地”年度考核评估，继续推行“用地清单制”模式、“带产业项目”和“带设计方案”供应方式，进一步提高服务与监管效能，国家级和自治区级产业园区新增工业项目用地按“标准地”供应比例不低于70%。</w:t>
            </w:r>
          </w:p>
        </w:tc>
        <w:tc>
          <w:tcPr>
            <w:tcW w:w="2251" w:type="dxa"/>
            <w:tcBorders>
              <w:tl2br w:val="nil"/>
              <w:tr2bl w:val="nil"/>
            </w:tcBorders>
            <w:noWrap w:val="0"/>
            <w:tcMar>
              <w:top w:w="28" w:type="dxa"/>
              <w:left w:w="28" w:type="dxa"/>
              <w:bottom w:w="28" w:type="dxa"/>
              <w:right w:w="28" w:type="dxa"/>
            </w:tcMar>
            <w:vAlign w:val="center"/>
          </w:tcPr>
          <w:p w14:paraId="786310C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p>
          <w:p w14:paraId="38D213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工业和信息化厅</w:t>
            </w:r>
          </w:p>
        </w:tc>
        <w:tc>
          <w:tcPr>
            <w:tcW w:w="2309" w:type="dxa"/>
            <w:tcBorders>
              <w:tl2br w:val="nil"/>
              <w:tr2bl w:val="nil"/>
            </w:tcBorders>
            <w:noWrap w:val="0"/>
            <w:tcMar>
              <w:top w:w="28" w:type="dxa"/>
              <w:left w:w="28" w:type="dxa"/>
              <w:bottom w:w="28" w:type="dxa"/>
              <w:right w:w="28" w:type="dxa"/>
            </w:tcMar>
            <w:vAlign w:val="center"/>
          </w:tcPr>
          <w:p w14:paraId="451D00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D95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518" w:type="dxa"/>
            <w:tcBorders>
              <w:tl2br w:val="nil"/>
              <w:tr2bl w:val="nil"/>
            </w:tcBorders>
            <w:noWrap w:val="0"/>
            <w:tcMar>
              <w:top w:w="28" w:type="dxa"/>
              <w:left w:w="28" w:type="dxa"/>
              <w:bottom w:w="28" w:type="dxa"/>
              <w:right w:w="28" w:type="dxa"/>
            </w:tcMar>
            <w:vAlign w:val="center"/>
          </w:tcPr>
          <w:p w14:paraId="6DB215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21</w:t>
            </w:r>
          </w:p>
        </w:tc>
        <w:tc>
          <w:tcPr>
            <w:tcW w:w="988" w:type="dxa"/>
            <w:vMerge w:val="continue"/>
            <w:tcBorders>
              <w:tl2br w:val="nil"/>
              <w:tr2bl w:val="nil"/>
            </w:tcBorders>
            <w:noWrap w:val="0"/>
            <w:tcMar>
              <w:top w:w="28" w:type="dxa"/>
              <w:left w:w="28" w:type="dxa"/>
              <w:bottom w:w="28" w:type="dxa"/>
              <w:right w:w="28" w:type="dxa"/>
            </w:tcMar>
            <w:vAlign w:val="center"/>
          </w:tcPr>
          <w:p w14:paraId="797F06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C1121D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推行“多测合一”改革</w:t>
            </w:r>
          </w:p>
        </w:tc>
        <w:tc>
          <w:tcPr>
            <w:tcW w:w="4992" w:type="dxa"/>
            <w:tcBorders>
              <w:tl2br w:val="nil"/>
              <w:tr2bl w:val="nil"/>
            </w:tcBorders>
            <w:noWrap w:val="0"/>
            <w:tcMar>
              <w:top w:w="28" w:type="dxa"/>
              <w:left w:w="28" w:type="dxa"/>
              <w:bottom w:w="28" w:type="dxa"/>
              <w:right w:w="28" w:type="dxa"/>
            </w:tcMar>
            <w:vAlign w:val="center"/>
          </w:tcPr>
          <w:p w14:paraId="4ADB5C2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推行“多测合一”、“多验合一”改革，试行分阶段整合测绘测量事项，探索分阶段施工许可、分期或分栋验收等审批服务模式。</w:t>
            </w:r>
          </w:p>
        </w:tc>
        <w:tc>
          <w:tcPr>
            <w:tcW w:w="2251" w:type="dxa"/>
            <w:tcBorders>
              <w:tl2br w:val="nil"/>
              <w:tr2bl w:val="nil"/>
            </w:tcBorders>
            <w:noWrap w:val="0"/>
            <w:tcMar>
              <w:top w:w="28" w:type="dxa"/>
              <w:left w:w="28" w:type="dxa"/>
              <w:bottom w:w="28" w:type="dxa"/>
              <w:right w:w="28" w:type="dxa"/>
            </w:tcMar>
            <w:vAlign w:val="center"/>
          </w:tcPr>
          <w:p w14:paraId="2F0428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、自然资源厅</w:t>
            </w:r>
          </w:p>
        </w:tc>
        <w:tc>
          <w:tcPr>
            <w:tcW w:w="2309" w:type="dxa"/>
            <w:tcBorders>
              <w:tl2br w:val="nil"/>
              <w:tr2bl w:val="nil"/>
            </w:tcBorders>
            <w:noWrap w:val="0"/>
            <w:tcMar>
              <w:top w:w="28" w:type="dxa"/>
              <w:left w:w="28" w:type="dxa"/>
              <w:bottom w:w="28" w:type="dxa"/>
              <w:right w:w="28" w:type="dxa"/>
            </w:tcMar>
            <w:vAlign w:val="center"/>
          </w:tcPr>
          <w:p w14:paraId="1A03451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24BB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jc w:val="center"/>
        </w:trPr>
        <w:tc>
          <w:tcPr>
            <w:tcW w:w="518" w:type="dxa"/>
            <w:tcBorders>
              <w:tl2br w:val="nil"/>
              <w:tr2bl w:val="nil"/>
            </w:tcBorders>
            <w:noWrap w:val="0"/>
            <w:tcMar>
              <w:top w:w="28" w:type="dxa"/>
              <w:left w:w="28" w:type="dxa"/>
              <w:bottom w:w="28" w:type="dxa"/>
              <w:right w:w="28" w:type="dxa"/>
            </w:tcMar>
            <w:vAlign w:val="center"/>
          </w:tcPr>
          <w:p w14:paraId="0DADB1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22</w:t>
            </w:r>
          </w:p>
        </w:tc>
        <w:tc>
          <w:tcPr>
            <w:tcW w:w="988" w:type="dxa"/>
            <w:vMerge w:val="restart"/>
            <w:tcBorders>
              <w:tl2br w:val="nil"/>
              <w:tr2bl w:val="nil"/>
            </w:tcBorders>
            <w:noWrap w:val="0"/>
            <w:tcMar>
              <w:top w:w="28" w:type="dxa"/>
              <w:left w:w="28" w:type="dxa"/>
              <w:bottom w:w="28" w:type="dxa"/>
              <w:right w:w="28" w:type="dxa"/>
            </w:tcMar>
            <w:vAlign w:val="center"/>
          </w:tcPr>
          <w:p w14:paraId="6D77E6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办理建筑许可</w:t>
            </w:r>
          </w:p>
        </w:tc>
        <w:tc>
          <w:tcPr>
            <w:tcW w:w="2038" w:type="dxa"/>
            <w:tcBorders>
              <w:tl2br w:val="nil"/>
              <w:tr2bl w:val="nil"/>
            </w:tcBorders>
            <w:noWrap w:val="0"/>
            <w:tcMar>
              <w:top w:w="28" w:type="dxa"/>
              <w:left w:w="28" w:type="dxa"/>
              <w:bottom w:w="28" w:type="dxa"/>
              <w:right w:w="28" w:type="dxa"/>
            </w:tcMar>
            <w:vAlign w:val="center"/>
          </w:tcPr>
          <w:p w14:paraId="6AAFB1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优化审批流程</w:t>
            </w:r>
          </w:p>
        </w:tc>
        <w:tc>
          <w:tcPr>
            <w:tcW w:w="4992" w:type="dxa"/>
            <w:tcBorders>
              <w:tl2br w:val="nil"/>
              <w:tr2bl w:val="nil"/>
            </w:tcBorders>
            <w:noWrap w:val="0"/>
            <w:tcMar>
              <w:top w:w="28" w:type="dxa"/>
              <w:left w:w="28" w:type="dxa"/>
              <w:bottom w:w="28" w:type="dxa"/>
              <w:right w:w="28" w:type="dxa"/>
            </w:tcMar>
            <w:vAlign w:val="center"/>
          </w:tcPr>
          <w:p w14:paraId="3C23BF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投资项目审批平台、多规合一平台、工程建设项目审批平台、政务服务平台和水电气网市政公用服务系统信息共享，推动试点建立水电气网统一的交费渠道，提升群众交费便利度。健全部门集中联合办公、手续并联办理机制，优化重大投资项目审批流程，探索用地、环评等审批事项承诺制。</w:t>
            </w:r>
          </w:p>
        </w:tc>
        <w:tc>
          <w:tcPr>
            <w:tcW w:w="2251" w:type="dxa"/>
            <w:tcBorders>
              <w:tl2br w:val="nil"/>
              <w:tr2bl w:val="nil"/>
            </w:tcBorders>
            <w:noWrap w:val="0"/>
            <w:tcMar>
              <w:top w:w="28" w:type="dxa"/>
              <w:left w:w="28" w:type="dxa"/>
              <w:bottom w:w="28" w:type="dxa"/>
              <w:right w:w="28" w:type="dxa"/>
            </w:tcMar>
            <w:vAlign w:val="center"/>
          </w:tcPr>
          <w:p w14:paraId="16F276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w:t>
            </w:r>
            <w:r>
              <w:rPr>
                <w:rFonts w:hint="eastAsia" w:eastAsia="方正书宋_GBK" w:cs="方正书宋_GBK"/>
                <w:i w:val="0"/>
                <w:snapToGrid w:val="0"/>
                <w:color w:val="auto"/>
                <w:spacing w:val="-6"/>
                <w:kern w:val="21"/>
                <w:sz w:val="22"/>
                <w:szCs w:val="22"/>
                <w:u w:val="none"/>
                <w:lang w:val="en-US" w:eastAsia="zh-CN" w:bidi="ar"/>
              </w:rPr>
              <w:t>住房和城乡建设厅</w:t>
            </w:r>
          </w:p>
        </w:tc>
        <w:tc>
          <w:tcPr>
            <w:tcW w:w="2309" w:type="dxa"/>
            <w:tcBorders>
              <w:tl2br w:val="nil"/>
              <w:tr2bl w:val="nil"/>
            </w:tcBorders>
            <w:noWrap w:val="0"/>
            <w:tcMar>
              <w:top w:w="28" w:type="dxa"/>
              <w:left w:w="28" w:type="dxa"/>
              <w:bottom w:w="28" w:type="dxa"/>
              <w:right w:w="28" w:type="dxa"/>
            </w:tcMar>
            <w:vAlign w:val="center"/>
          </w:tcPr>
          <w:p w14:paraId="203571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自治区发展改革委、工业和信息化厅、自然资源厅、生态环境厅、数据局</w:t>
            </w:r>
          </w:p>
        </w:tc>
      </w:tr>
      <w:tr w14:paraId="0767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518" w:type="dxa"/>
            <w:tcBorders>
              <w:tl2br w:val="nil"/>
              <w:tr2bl w:val="nil"/>
            </w:tcBorders>
            <w:noWrap w:val="0"/>
            <w:tcMar>
              <w:top w:w="28" w:type="dxa"/>
              <w:left w:w="28" w:type="dxa"/>
              <w:bottom w:w="28" w:type="dxa"/>
              <w:right w:w="28" w:type="dxa"/>
            </w:tcMar>
            <w:vAlign w:val="center"/>
          </w:tcPr>
          <w:p w14:paraId="21AE8AF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23</w:t>
            </w:r>
          </w:p>
        </w:tc>
        <w:tc>
          <w:tcPr>
            <w:tcW w:w="988" w:type="dxa"/>
            <w:vMerge w:val="continue"/>
            <w:tcBorders>
              <w:tl2br w:val="nil"/>
              <w:tr2bl w:val="nil"/>
            </w:tcBorders>
            <w:noWrap w:val="0"/>
            <w:tcMar>
              <w:top w:w="28" w:type="dxa"/>
              <w:left w:w="28" w:type="dxa"/>
              <w:bottom w:w="28" w:type="dxa"/>
              <w:right w:w="28" w:type="dxa"/>
            </w:tcMar>
            <w:vAlign w:val="center"/>
          </w:tcPr>
          <w:p w14:paraId="7041B4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1721F3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推进占掘路审批机制改革</w:t>
            </w:r>
          </w:p>
        </w:tc>
        <w:tc>
          <w:tcPr>
            <w:tcW w:w="4992" w:type="dxa"/>
            <w:tcBorders>
              <w:tl2br w:val="nil"/>
              <w:tr2bl w:val="nil"/>
            </w:tcBorders>
            <w:noWrap w:val="0"/>
            <w:tcMar>
              <w:top w:w="28" w:type="dxa"/>
              <w:left w:w="28" w:type="dxa"/>
              <w:bottom w:w="28" w:type="dxa"/>
              <w:right w:w="28" w:type="dxa"/>
            </w:tcMar>
            <w:vAlign w:val="center"/>
          </w:tcPr>
          <w:p w14:paraId="541116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推进占掘路审批机制改革，压缩办理时限，持续提升办理便捷度。</w:t>
            </w:r>
          </w:p>
        </w:tc>
        <w:tc>
          <w:tcPr>
            <w:tcW w:w="2251" w:type="dxa"/>
            <w:tcBorders>
              <w:tl2br w:val="nil"/>
              <w:tr2bl w:val="nil"/>
            </w:tcBorders>
            <w:noWrap w:val="0"/>
            <w:tcMar>
              <w:top w:w="28" w:type="dxa"/>
              <w:left w:w="28" w:type="dxa"/>
              <w:bottom w:w="28" w:type="dxa"/>
              <w:right w:w="28" w:type="dxa"/>
            </w:tcMar>
            <w:vAlign w:val="center"/>
          </w:tcPr>
          <w:p w14:paraId="5ACB4B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c>
          <w:tcPr>
            <w:tcW w:w="2309" w:type="dxa"/>
            <w:tcBorders>
              <w:tl2br w:val="nil"/>
              <w:tr2bl w:val="nil"/>
            </w:tcBorders>
            <w:noWrap w:val="0"/>
            <w:tcMar>
              <w:top w:w="28" w:type="dxa"/>
              <w:left w:w="28" w:type="dxa"/>
              <w:bottom w:w="28" w:type="dxa"/>
              <w:right w:w="28" w:type="dxa"/>
            </w:tcMar>
            <w:vAlign w:val="center"/>
          </w:tcPr>
          <w:p w14:paraId="44BC8F1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224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18" w:type="dxa"/>
            <w:tcBorders>
              <w:tl2br w:val="nil"/>
              <w:tr2bl w:val="nil"/>
            </w:tcBorders>
            <w:noWrap w:val="0"/>
            <w:tcMar>
              <w:top w:w="28" w:type="dxa"/>
              <w:left w:w="28" w:type="dxa"/>
              <w:bottom w:w="28" w:type="dxa"/>
              <w:right w:w="28" w:type="dxa"/>
            </w:tcMar>
            <w:vAlign w:val="center"/>
          </w:tcPr>
          <w:p w14:paraId="517A08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24</w:t>
            </w:r>
          </w:p>
        </w:tc>
        <w:tc>
          <w:tcPr>
            <w:tcW w:w="988" w:type="dxa"/>
            <w:tcBorders>
              <w:tl2br w:val="nil"/>
              <w:tr2bl w:val="nil"/>
            </w:tcBorders>
            <w:noWrap w:val="0"/>
            <w:tcMar>
              <w:top w:w="28" w:type="dxa"/>
              <w:left w:w="28" w:type="dxa"/>
              <w:bottom w:w="28" w:type="dxa"/>
              <w:right w:w="28" w:type="dxa"/>
            </w:tcMar>
            <w:vAlign w:val="center"/>
          </w:tcPr>
          <w:p w14:paraId="67C63BF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政府采购</w:t>
            </w:r>
          </w:p>
        </w:tc>
        <w:tc>
          <w:tcPr>
            <w:tcW w:w="2038" w:type="dxa"/>
            <w:tcBorders>
              <w:tl2br w:val="nil"/>
              <w:tr2bl w:val="nil"/>
            </w:tcBorders>
            <w:noWrap w:val="0"/>
            <w:tcMar>
              <w:top w:w="28" w:type="dxa"/>
              <w:left w:w="28" w:type="dxa"/>
              <w:bottom w:w="28" w:type="dxa"/>
              <w:right w:w="28" w:type="dxa"/>
            </w:tcMar>
            <w:vAlign w:val="center"/>
          </w:tcPr>
          <w:p w14:paraId="479A25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扩大远程异地评标运用范围</w:t>
            </w:r>
          </w:p>
        </w:tc>
        <w:tc>
          <w:tcPr>
            <w:tcW w:w="4992" w:type="dxa"/>
            <w:tcBorders>
              <w:tl2br w:val="nil"/>
              <w:tr2bl w:val="nil"/>
            </w:tcBorders>
            <w:noWrap w:val="0"/>
            <w:tcMar>
              <w:top w:w="28" w:type="dxa"/>
              <w:left w:w="28" w:type="dxa"/>
              <w:bottom w:w="28" w:type="dxa"/>
              <w:right w:w="28" w:type="dxa"/>
            </w:tcMar>
            <w:vAlign w:val="center"/>
          </w:tcPr>
          <w:p w14:paraId="45CBB0B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拓展远程异地评标运用场景，在更多招标投标、政府采购事项中采用远程异地评标。</w:t>
            </w:r>
          </w:p>
        </w:tc>
        <w:tc>
          <w:tcPr>
            <w:tcW w:w="2251" w:type="dxa"/>
            <w:tcBorders>
              <w:tl2br w:val="nil"/>
              <w:tr2bl w:val="nil"/>
            </w:tcBorders>
            <w:noWrap w:val="0"/>
            <w:tcMar>
              <w:top w:w="28" w:type="dxa"/>
              <w:left w:w="28" w:type="dxa"/>
              <w:bottom w:w="28" w:type="dxa"/>
              <w:right w:w="28" w:type="dxa"/>
            </w:tcMar>
            <w:vAlign w:val="center"/>
          </w:tcPr>
          <w:p w14:paraId="70E3D8D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自治区财政厅、公共资源交易中心</w:t>
            </w:r>
          </w:p>
        </w:tc>
        <w:tc>
          <w:tcPr>
            <w:tcW w:w="2309" w:type="dxa"/>
            <w:tcBorders>
              <w:tl2br w:val="nil"/>
              <w:tr2bl w:val="nil"/>
            </w:tcBorders>
            <w:noWrap w:val="0"/>
            <w:tcMar>
              <w:top w:w="28" w:type="dxa"/>
              <w:left w:w="28" w:type="dxa"/>
              <w:bottom w:w="28" w:type="dxa"/>
              <w:right w:w="28" w:type="dxa"/>
            </w:tcMar>
            <w:vAlign w:val="center"/>
          </w:tcPr>
          <w:p w14:paraId="2A41E8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C44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518" w:type="dxa"/>
            <w:tcBorders>
              <w:tl2br w:val="nil"/>
              <w:tr2bl w:val="nil"/>
            </w:tcBorders>
            <w:noWrap w:val="0"/>
            <w:tcMar>
              <w:top w:w="28" w:type="dxa"/>
              <w:left w:w="28" w:type="dxa"/>
              <w:bottom w:w="28" w:type="dxa"/>
              <w:right w:w="28" w:type="dxa"/>
            </w:tcMar>
            <w:vAlign w:val="center"/>
          </w:tcPr>
          <w:p w14:paraId="50EC205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25</w:t>
            </w:r>
          </w:p>
        </w:tc>
        <w:tc>
          <w:tcPr>
            <w:tcW w:w="988" w:type="dxa"/>
            <w:vMerge w:val="restart"/>
            <w:tcBorders>
              <w:tl2br w:val="nil"/>
              <w:tr2bl w:val="nil"/>
            </w:tcBorders>
            <w:noWrap w:val="0"/>
            <w:tcMar>
              <w:top w:w="28" w:type="dxa"/>
              <w:left w:w="28" w:type="dxa"/>
              <w:bottom w:w="28" w:type="dxa"/>
              <w:right w:w="28" w:type="dxa"/>
            </w:tcMar>
            <w:vAlign w:val="center"/>
          </w:tcPr>
          <w:p w14:paraId="306339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招标投标</w:t>
            </w:r>
          </w:p>
        </w:tc>
        <w:tc>
          <w:tcPr>
            <w:tcW w:w="2038" w:type="dxa"/>
            <w:tcBorders>
              <w:tl2br w:val="nil"/>
              <w:tr2bl w:val="nil"/>
            </w:tcBorders>
            <w:noWrap w:val="0"/>
            <w:tcMar>
              <w:top w:w="28" w:type="dxa"/>
              <w:left w:w="28" w:type="dxa"/>
              <w:bottom w:w="28" w:type="dxa"/>
              <w:right w:w="28" w:type="dxa"/>
            </w:tcMar>
            <w:vAlign w:val="center"/>
          </w:tcPr>
          <w:p w14:paraId="7E0CBB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提升信息化系统数字服务功能</w:t>
            </w:r>
          </w:p>
        </w:tc>
        <w:tc>
          <w:tcPr>
            <w:tcW w:w="4992" w:type="dxa"/>
            <w:tcBorders>
              <w:tl2br w:val="nil"/>
              <w:tr2bl w:val="nil"/>
            </w:tcBorders>
            <w:noWrap w:val="0"/>
            <w:tcMar>
              <w:top w:w="28" w:type="dxa"/>
              <w:left w:w="28" w:type="dxa"/>
              <w:bottom w:w="28" w:type="dxa"/>
              <w:right w:w="28" w:type="dxa"/>
            </w:tcMar>
            <w:vAlign w:val="center"/>
          </w:tcPr>
          <w:p w14:paraId="1BBAEB8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加强公共资源交易平台与国库支付系统信息共享，缩短支付时限、减少支付环节，推动建设政府投资工程建设项目招标投标在线查询支付进度等功能。</w:t>
            </w:r>
          </w:p>
        </w:tc>
        <w:tc>
          <w:tcPr>
            <w:tcW w:w="2251" w:type="dxa"/>
            <w:tcBorders>
              <w:tl2br w:val="nil"/>
              <w:tr2bl w:val="nil"/>
            </w:tcBorders>
            <w:noWrap w:val="0"/>
            <w:tcMar>
              <w:top w:w="28" w:type="dxa"/>
              <w:left w:w="28" w:type="dxa"/>
              <w:bottom w:w="28" w:type="dxa"/>
              <w:right w:w="28" w:type="dxa"/>
            </w:tcMar>
            <w:vAlign w:val="center"/>
          </w:tcPr>
          <w:p w14:paraId="287203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自治区公共资源交易中心、财政厅</w:t>
            </w:r>
          </w:p>
        </w:tc>
        <w:tc>
          <w:tcPr>
            <w:tcW w:w="2309" w:type="dxa"/>
            <w:tcBorders>
              <w:tl2br w:val="nil"/>
              <w:tr2bl w:val="nil"/>
            </w:tcBorders>
            <w:noWrap w:val="0"/>
            <w:tcMar>
              <w:top w:w="28" w:type="dxa"/>
              <w:left w:w="28" w:type="dxa"/>
              <w:bottom w:w="28" w:type="dxa"/>
              <w:right w:w="28" w:type="dxa"/>
            </w:tcMar>
            <w:vAlign w:val="center"/>
          </w:tcPr>
          <w:p w14:paraId="42BC72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7CCB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18" w:type="dxa"/>
            <w:tcBorders>
              <w:tl2br w:val="nil"/>
              <w:tr2bl w:val="nil"/>
            </w:tcBorders>
            <w:noWrap w:val="0"/>
            <w:tcMar>
              <w:top w:w="28" w:type="dxa"/>
              <w:left w:w="28" w:type="dxa"/>
              <w:bottom w:w="28" w:type="dxa"/>
              <w:right w:w="28" w:type="dxa"/>
            </w:tcMar>
            <w:vAlign w:val="center"/>
          </w:tcPr>
          <w:p w14:paraId="0C4CCE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26</w:t>
            </w:r>
          </w:p>
        </w:tc>
        <w:tc>
          <w:tcPr>
            <w:tcW w:w="988" w:type="dxa"/>
            <w:vMerge w:val="continue"/>
            <w:tcBorders>
              <w:tl2br w:val="nil"/>
              <w:tr2bl w:val="nil"/>
            </w:tcBorders>
            <w:noWrap w:val="0"/>
            <w:tcMar>
              <w:top w:w="28" w:type="dxa"/>
              <w:left w:w="28" w:type="dxa"/>
              <w:bottom w:w="28" w:type="dxa"/>
              <w:right w:w="28" w:type="dxa"/>
            </w:tcMar>
            <w:vAlign w:val="center"/>
          </w:tcPr>
          <w:p w14:paraId="41A2D7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B0FCB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持续推进招标投标全流程电子化</w:t>
            </w:r>
          </w:p>
        </w:tc>
        <w:tc>
          <w:tcPr>
            <w:tcW w:w="4992" w:type="dxa"/>
            <w:tcBorders>
              <w:tl2br w:val="nil"/>
              <w:tr2bl w:val="nil"/>
            </w:tcBorders>
            <w:noWrap w:val="0"/>
            <w:tcMar>
              <w:top w:w="28" w:type="dxa"/>
              <w:left w:w="28" w:type="dxa"/>
              <w:bottom w:w="28" w:type="dxa"/>
              <w:right w:w="28" w:type="dxa"/>
            </w:tcMar>
            <w:vAlign w:val="center"/>
          </w:tcPr>
          <w:p w14:paraId="422DCB2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持续拓展招标投标全流程电子化覆盖范围，推动网上“不见面”开标和远程异地评标常态化，持续推进跨省远程异地评标和全区CA数字证书（公共密钥证书）互认。</w:t>
            </w:r>
          </w:p>
        </w:tc>
        <w:tc>
          <w:tcPr>
            <w:tcW w:w="2251" w:type="dxa"/>
            <w:tcBorders>
              <w:tl2br w:val="nil"/>
              <w:tr2bl w:val="nil"/>
            </w:tcBorders>
            <w:noWrap w:val="0"/>
            <w:tcMar>
              <w:top w:w="28" w:type="dxa"/>
              <w:left w:w="28" w:type="dxa"/>
              <w:bottom w:w="28" w:type="dxa"/>
              <w:right w:w="28" w:type="dxa"/>
            </w:tcMar>
            <w:vAlign w:val="center"/>
          </w:tcPr>
          <w:p w14:paraId="68AFB4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w:t>
            </w:r>
          </w:p>
          <w:p w14:paraId="534D58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交易中心</w:t>
            </w:r>
          </w:p>
        </w:tc>
        <w:tc>
          <w:tcPr>
            <w:tcW w:w="2309" w:type="dxa"/>
            <w:tcBorders>
              <w:tl2br w:val="nil"/>
              <w:tr2bl w:val="nil"/>
            </w:tcBorders>
            <w:noWrap w:val="0"/>
            <w:tcMar>
              <w:top w:w="28" w:type="dxa"/>
              <w:left w:w="28" w:type="dxa"/>
              <w:bottom w:w="28" w:type="dxa"/>
              <w:right w:w="28" w:type="dxa"/>
            </w:tcMar>
            <w:vAlign w:val="center"/>
          </w:tcPr>
          <w:p w14:paraId="17493D1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DAA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518" w:type="dxa"/>
            <w:tcBorders>
              <w:tl2br w:val="nil"/>
              <w:tr2bl w:val="nil"/>
            </w:tcBorders>
            <w:noWrap w:val="0"/>
            <w:tcMar>
              <w:top w:w="28" w:type="dxa"/>
              <w:left w:w="28" w:type="dxa"/>
              <w:bottom w:w="28" w:type="dxa"/>
              <w:right w:w="28" w:type="dxa"/>
            </w:tcMar>
            <w:vAlign w:val="center"/>
          </w:tcPr>
          <w:p w14:paraId="442A20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27</w:t>
            </w:r>
          </w:p>
        </w:tc>
        <w:tc>
          <w:tcPr>
            <w:tcW w:w="988" w:type="dxa"/>
            <w:vMerge w:val="continue"/>
            <w:tcBorders>
              <w:tl2br w:val="nil"/>
              <w:tr2bl w:val="nil"/>
            </w:tcBorders>
            <w:noWrap w:val="0"/>
            <w:tcMar>
              <w:top w:w="28" w:type="dxa"/>
              <w:left w:w="28" w:type="dxa"/>
              <w:bottom w:w="28" w:type="dxa"/>
              <w:right w:w="28" w:type="dxa"/>
            </w:tcMar>
            <w:vAlign w:val="center"/>
          </w:tcPr>
          <w:p w14:paraId="4CF9E49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4C289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上线电子营业执照功能</w:t>
            </w:r>
          </w:p>
        </w:tc>
        <w:tc>
          <w:tcPr>
            <w:tcW w:w="4992" w:type="dxa"/>
            <w:tcBorders>
              <w:tl2br w:val="nil"/>
              <w:tr2bl w:val="nil"/>
            </w:tcBorders>
            <w:noWrap w:val="0"/>
            <w:tcMar>
              <w:top w:w="28" w:type="dxa"/>
              <w:left w:w="28" w:type="dxa"/>
              <w:bottom w:w="28" w:type="dxa"/>
              <w:right w:w="28" w:type="dxa"/>
            </w:tcMar>
            <w:vAlign w:val="center"/>
          </w:tcPr>
          <w:p w14:paraId="7847DF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在全区试点开展招标投标全流程业务“一照通办”。</w:t>
            </w:r>
          </w:p>
        </w:tc>
        <w:tc>
          <w:tcPr>
            <w:tcW w:w="2251" w:type="dxa"/>
            <w:tcBorders>
              <w:tl2br w:val="nil"/>
              <w:tr2bl w:val="nil"/>
            </w:tcBorders>
            <w:noWrap w:val="0"/>
            <w:tcMar>
              <w:top w:w="28" w:type="dxa"/>
              <w:left w:w="28" w:type="dxa"/>
              <w:bottom w:w="28" w:type="dxa"/>
              <w:right w:w="28" w:type="dxa"/>
            </w:tcMar>
            <w:vAlign w:val="center"/>
          </w:tcPr>
          <w:p w14:paraId="7664F10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自治区公共资源</w:t>
            </w:r>
          </w:p>
          <w:p w14:paraId="1BAE72E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交易中心</w:t>
            </w:r>
          </w:p>
        </w:tc>
        <w:tc>
          <w:tcPr>
            <w:tcW w:w="2309" w:type="dxa"/>
            <w:tcBorders>
              <w:tl2br w:val="nil"/>
              <w:tr2bl w:val="nil"/>
            </w:tcBorders>
            <w:noWrap w:val="0"/>
            <w:tcMar>
              <w:top w:w="28" w:type="dxa"/>
              <w:left w:w="28" w:type="dxa"/>
              <w:bottom w:w="28" w:type="dxa"/>
              <w:right w:w="28" w:type="dxa"/>
            </w:tcMar>
            <w:vAlign w:val="center"/>
          </w:tcPr>
          <w:p w14:paraId="3255190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、交通运输厅、水利厅、农业农村厅、市场监管局</w:t>
            </w:r>
          </w:p>
        </w:tc>
      </w:tr>
      <w:tr w14:paraId="4E40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518" w:type="dxa"/>
            <w:tcBorders>
              <w:tl2br w:val="nil"/>
              <w:tr2bl w:val="nil"/>
            </w:tcBorders>
            <w:noWrap w:val="0"/>
            <w:tcMar>
              <w:top w:w="28" w:type="dxa"/>
              <w:left w:w="28" w:type="dxa"/>
              <w:bottom w:w="28" w:type="dxa"/>
              <w:right w:w="28" w:type="dxa"/>
            </w:tcMar>
            <w:vAlign w:val="center"/>
          </w:tcPr>
          <w:p w14:paraId="7E394B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28</w:t>
            </w:r>
          </w:p>
        </w:tc>
        <w:tc>
          <w:tcPr>
            <w:tcW w:w="988" w:type="dxa"/>
            <w:vMerge w:val="restart"/>
            <w:tcBorders>
              <w:tl2br w:val="nil"/>
              <w:tr2bl w:val="nil"/>
            </w:tcBorders>
            <w:noWrap w:val="0"/>
            <w:tcMar>
              <w:top w:w="28" w:type="dxa"/>
              <w:left w:w="28" w:type="dxa"/>
              <w:bottom w:w="28" w:type="dxa"/>
              <w:right w:w="28" w:type="dxa"/>
            </w:tcMar>
            <w:vAlign w:val="center"/>
          </w:tcPr>
          <w:p w14:paraId="4E8CCA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获得电力</w:t>
            </w:r>
          </w:p>
        </w:tc>
        <w:tc>
          <w:tcPr>
            <w:tcW w:w="2038" w:type="dxa"/>
            <w:tcBorders>
              <w:tl2br w:val="nil"/>
              <w:tr2bl w:val="nil"/>
            </w:tcBorders>
            <w:noWrap w:val="0"/>
            <w:tcMar>
              <w:top w:w="28" w:type="dxa"/>
              <w:left w:w="28" w:type="dxa"/>
              <w:bottom w:w="28" w:type="dxa"/>
              <w:right w:w="28" w:type="dxa"/>
            </w:tcMar>
            <w:vAlign w:val="center"/>
          </w:tcPr>
          <w:p w14:paraId="2EBF959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降低用电报装费用</w:t>
            </w:r>
          </w:p>
        </w:tc>
        <w:tc>
          <w:tcPr>
            <w:tcW w:w="4992" w:type="dxa"/>
            <w:tcBorders>
              <w:tl2br w:val="nil"/>
              <w:tr2bl w:val="nil"/>
            </w:tcBorders>
            <w:noWrap w:val="0"/>
            <w:tcMar>
              <w:top w:w="28" w:type="dxa"/>
              <w:left w:w="28" w:type="dxa"/>
              <w:bottom w:w="28" w:type="dxa"/>
              <w:right w:w="28" w:type="dxa"/>
            </w:tcMar>
            <w:vAlign w:val="center"/>
          </w:tcPr>
          <w:p w14:paraId="0CFD08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推动全区范围内用电容量160千瓦及以下的小微企业低压用电实施“零投资”报装。</w:t>
            </w:r>
          </w:p>
        </w:tc>
        <w:tc>
          <w:tcPr>
            <w:tcW w:w="2251" w:type="dxa"/>
            <w:tcBorders>
              <w:tl2br w:val="nil"/>
              <w:tr2bl w:val="nil"/>
            </w:tcBorders>
            <w:noWrap w:val="0"/>
            <w:tcMar>
              <w:top w:w="28" w:type="dxa"/>
              <w:left w:w="28" w:type="dxa"/>
              <w:bottom w:w="28" w:type="dxa"/>
              <w:right w:w="28" w:type="dxa"/>
            </w:tcMar>
            <w:vAlign w:val="center"/>
          </w:tcPr>
          <w:p w14:paraId="4C1F47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442E61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广西电网公司，百色电力有限责任公司，广西能源股份有限公司</w:t>
            </w:r>
          </w:p>
        </w:tc>
      </w:tr>
      <w:tr w14:paraId="37A47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518" w:type="dxa"/>
            <w:tcBorders>
              <w:tl2br w:val="nil"/>
              <w:tr2bl w:val="nil"/>
            </w:tcBorders>
            <w:noWrap w:val="0"/>
            <w:tcMar>
              <w:top w:w="28" w:type="dxa"/>
              <w:left w:w="28" w:type="dxa"/>
              <w:bottom w:w="28" w:type="dxa"/>
              <w:right w:w="28" w:type="dxa"/>
            </w:tcMar>
            <w:vAlign w:val="center"/>
          </w:tcPr>
          <w:p w14:paraId="3CB64A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29</w:t>
            </w:r>
          </w:p>
        </w:tc>
        <w:tc>
          <w:tcPr>
            <w:tcW w:w="988" w:type="dxa"/>
            <w:vMerge w:val="continue"/>
            <w:tcBorders>
              <w:tl2br w:val="nil"/>
              <w:tr2bl w:val="nil"/>
            </w:tcBorders>
            <w:noWrap w:val="0"/>
            <w:tcMar>
              <w:top w:w="28" w:type="dxa"/>
              <w:left w:w="28" w:type="dxa"/>
              <w:bottom w:w="28" w:type="dxa"/>
              <w:right w:w="28" w:type="dxa"/>
            </w:tcMar>
            <w:vAlign w:val="center"/>
          </w:tcPr>
          <w:p w14:paraId="58D654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C769C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进一步推动降低企业用电成本</w:t>
            </w:r>
          </w:p>
        </w:tc>
        <w:tc>
          <w:tcPr>
            <w:tcW w:w="4992" w:type="dxa"/>
            <w:tcBorders>
              <w:tl2br w:val="nil"/>
              <w:tr2bl w:val="nil"/>
            </w:tcBorders>
            <w:noWrap w:val="0"/>
            <w:tcMar>
              <w:top w:w="28" w:type="dxa"/>
              <w:left w:w="28" w:type="dxa"/>
              <w:bottom w:w="28" w:type="dxa"/>
              <w:right w:w="28" w:type="dxa"/>
            </w:tcMar>
            <w:vAlign w:val="center"/>
          </w:tcPr>
          <w:p w14:paraId="3E3789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落实政府授权合约机制，推动电价保持在合理区间。</w:t>
            </w:r>
          </w:p>
        </w:tc>
        <w:tc>
          <w:tcPr>
            <w:tcW w:w="2251" w:type="dxa"/>
            <w:tcBorders>
              <w:tl2br w:val="nil"/>
              <w:tr2bl w:val="nil"/>
            </w:tcBorders>
            <w:noWrap w:val="0"/>
            <w:tcMar>
              <w:top w:w="28" w:type="dxa"/>
              <w:left w:w="28" w:type="dxa"/>
              <w:bottom w:w="28" w:type="dxa"/>
              <w:right w:w="28" w:type="dxa"/>
            </w:tcMar>
            <w:vAlign w:val="center"/>
          </w:tcPr>
          <w:p w14:paraId="5385E7C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自治区能源局、发展改革委</w:t>
            </w:r>
          </w:p>
        </w:tc>
        <w:tc>
          <w:tcPr>
            <w:tcW w:w="2309" w:type="dxa"/>
            <w:tcBorders>
              <w:tl2br w:val="nil"/>
              <w:tr2bl w:val="nil"/>
            </w:tcBorders>
            <w:noWrap w:val="0"/>
            <w:tcMar>
              <w:top w:w="28" w:type="dxa"/>
              <w:left w:w="28" w:type="dxa"/>
              <w:bottom w:w="28" w:type="dxa"/>
              <w:right w:w="28" w:type="dxa"/>
            </w:tcMar>
            <w:vAlign w:val="center"/>
          </w:tcPr>
          <w:p w14:paraId="3948B7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国家能源局南方监管局，</w:t>
            </w: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广西电力交易中心有限</w:t>
            </w:r>
            <w:r>
              <w:rPr>
                <w:rFonts w:hint="eastAsia" w:ascii="Times New Roman" w:hAnsi="Times New Roman" w:eastAsia="方正书宋_GBK" w:cs="方正书宋_GBK"/>
                <w:i w:val="0"/>
                <w:snapToGrid w:val="0"/>
                <w:color w:val="auto"/>
                <w:spacing w:val="-6"/>
                <w:kern w:val="21"/>
                <w:sz w:val="22"/>
                <w:szCs w:val="22"/>
                <w:u w:val="none"/>
                <w:lang w:val="en-US" w:eastAsia="zh-CN" w:bidi="ar"/>
              </w:rPr>
              <w:t>责任公司，广西电网公司</w:t>
            </w:r>
          </w:p>
        </w:tc>
      </w:tr>
      <w:tr w14:paraId="444B1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18" w:type="dxa"/>
            <w:tcBorders>
              <w:tl2br w:val="nil"/>
              <w:tr2bl w:val="nil"/>
            </w:tcBorders>
            <w:noWrap w:val="0"/>
            <w:tcMar>
              <w:top w:w="28" w:type="dxa"/>
              <w:left w:w="28" w:type="dxa"/>
              <w:bottom w:w="28" w:type="dxa"/>
              <w:right w:w="28" w:type="dxa"/>
            </w:tcMar>
            <w:vAlign w:val="center"/>
          </w:tcPr>
          <w:p w14:paraId="6C69C1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30</w:t>
            </w:r>
          </w:p>
        </w:tc>
        <w:tc>
          <w:tcPr>
            <w:tcW w:w="988" w:type="dxa"/>
            <w:vMerge w:val="continue"/>
            <w:tcBorders>
              <w:tl2br w:val="nil"/>
              <w:tr2bl w:val="nil"/>
            </w:tcBorders>
            <w:noWrap w:val="0"/>
            <w:tcMar>
              <w:top w:w="28" w:type="dxa"/>
              <w:left w:w="28" w:type="dxa"/>
              <w:bottom w:w="28" w:type="dxa"/>
              <w:right w:w="28" w:type="dxa"/>
            </w:tcMar>
            <w:vAlign w:val="center"/>
          </w:tcPr>
          <w:p w14:paraId="5883F7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482C4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加快推进源网荷储一体化试点建设</w:t>
            </w:r>
          </w:p>
        </w:tc>
        <w:tc>
          <w:tcPr>
            <w:tcW w:w="4992" w:type="dxa"/>
            <w:tcBorders>
              <w:tl2br w:val="nil"/>
              <w:tr2bl w:val="nil"/>
            </w:tcBorders>
            <w:noWrap w:val="0"/>
            <w:tcMar>
              <w:top w:w="28" w:type="dxa"/>
              <w:left w:w="28" w:type="dxa"/>
              <w:bottom w:w="28" w:type="dxa"/>
              <w:right w:w="28" w:type="dxa"/>
            </w:tcMar>
            <w:vAlign w:val="center"/>
          </w:tcPr>
          <w:p w14:paraId="0DF2D6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加快推进首批7个源网荷储一体化试点项目，督促有关市和项目业主做好试点项目建设工作。推进试点项目的核准或备案手续办理，推动有关市尽快落实建设条件，及早开工建设。</w:t>
            </w:r>
          </w:p>
        </w:tc>
        <w:tc>
          <w:tcPr>
            <w:tcW w:w="2251" w:type="dxa"/>
            <w:tcBorders>
              <w:tl2br w:val="nil"/>
              <w:tr2bl w:val="nil"/>
            </w:tcBorders>
            <w:noWrap w:val="0"/>
            <w:tcMar>
              <w:top w:w="28" w:type="dxa"/>
              <w:left w:w="28" w:type="dxa"/>
              <w:bottom w:w="28" w:type="dxa"/>
              <w:right w:w="28" w:type="dxa"/>
            </w:tcMar>
            <w:vAlign w:val="center"/>
          </w:tcPr>
          <w:p w14:paraId="750C88E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479C93C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eastAsia="zh-CN"/>
              </w:rPr>
            </w:pPr>
            <w:r>
              <w:rPr>
                <w:rFonts w:hint="eastAsia" w:ascii="Times New Roman" w:hAnsi="Times New Roman" w:eastAsia="方正书宋_GBK" w:cs="方正书宋_GBK"/>
                <w:i w:val="0"/>
                <w:snapToGrid w:val="0"/>
                <w:color w:val="auto"/>
                <w:spacing w:val="0"/>
                <w:kern w:val="21"/>
                <w:sz w:val="22"/>
                <w:szCs w:val="22"/>
                <w:u w:val="none"/>
                <w:lang w:eastAsia="zh-CN"/>
              </w:rPr>
              <w:t>相关市人民政府</w:t>
            </w:r>
          </w:p>
        </w:tc>
      </w:tr>
      <w:tr w14:paraId="722CE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18" w:type="dxa"/>
            <w:tcBorders>
              <w:tl2br w:val="nil"/>
              <w:tr2bl w:val="nil"/>
            </w:tcBorders>
            <w:noWrap w:val="0"/>
            <w:tcMar>
              <w:top w:w="28" w:type="dxa"/>
              <w:left w:w="28" w:type="dxa"/>
              <w:bottom w:w="28" w:type="dxa"/>
              <w:right w:w="28" w:type="dxa"/>
            </w:tcMar>
            <w:vAlign w:val="center"/>
          </w:tcPr>
          <w:p w14:paraId="2A59D9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31</w:t>
            </w:r>
          </w:p>
        </w:tc>
        <w:tc>
          <w:tcPr>
            <w:tcW w:w="988" w:type="dxa"/>
            <w:vMerge w:val="restart"/>
            <w:tcBorders>
              <w:tl2br w:val="nil"/>
              <w:tr2bl w:val="nil"/>
            </w:tcBorders>
            <w:noWrap w:val="0"/>
            <w:tcMar>
              <w:top w:w="28" w:type="dxa"/>
              <w:left w:w="28" w:type="dxa"/>
              <w:bottom w:w="28" w:type="dxa"/>
              <w:right w:w="28" w:type="dxa"/>
            </w:tcMar>
            <w:vAlign w:val="center"/>
          </w:tcPr>
          <w:p w14:paraId="0FB9A93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获得用水用气</w:t>
            </w:r>
          </w:p>
        </w:tc>
        <w:tc>
          <w:tcPr>
            <w:tcW w:w="2038" w:type="dxa"/>
            <w:tcBorders>
              <w:tl2br w:val="nil"/>
              <w:tr2bl w:val="nil"/>
            </w:tcBorders>
            <w:noWrap w:val="0"/>
            <w:tcMar>
              <w:top w:w="28" w:type="dxa"/>
              <w:left w:w="28" w:type="dxa"/>
              <w:bottom w:w="28" w:type="dxa"/>
              <w:right w:w="28" w:type="dxa"/>
            </w:tcMar>
            <w:vAlign w:val="center"/>
          </w:tcPr>
          <w:p w14:paraId="20CFF9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优化报装服务</w:t>
            </w:r>
          </w:p>
        </w:tc>
        <w:tc>
          <w:tcPr>
            <w:tcW w:w="4992" w:type="dxa"/>
            <w:tcBorders>
              <w:tl2br w:val="nil"/>
              <w:tr2bl w:val="nil"/>
            </w:tcBorders>
            <w:noWrap w:val="0"/>
            <w:tcMar>
              <w:top w:w="28" w:type="dxa"/>
              <w:left w:w="28" w:type="dxa"/>
              <w:bottom w:w="28" w:type="dxa"/>
              <w:right w:w="28" w:type="dxa"/>
            </w:tcMar>
            <w:vAlign w:val="center"/>
          </w:tcPr>
          <w:p w14:paraId="5C5892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推行水电气网等市政接入工程涉及的行政审批在线办理、并联审批，审批时限压缩至5个工作日内。</w:t>
            </w:r>
          </w:p>
        </w:tc>
        <w:tc>
          <w:tcPr>
            <w:tcW w:w="2251" w:type="dxa"/>
            <w:tcBorders>
              <w:tl2br w:val="nil"/>
              <w:tr2bl w:val="nil"/>
            </w:tcBorders>
            <w:noWrap w:val="0"/>
            <w:tcMar>
              <w:top w:w="28" w:type="dxa"/>
              <w:left w:w="28" w:type="dxa"/>
              <w:bottom w:w="28" w:type="dxa"/>
              <w:right w:w="28" w:type="dxa"/>
            </w:tcMar>
            <w:vAlign w:val="center"/>
          </w:tcPr>
          <w:p w14:paraId="1CEC5F1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w:t>
            </w:r>
            <w:r>
              <w:rPr>
                <w:rFonts w:hint="eastAsia" w:eastAsia="方正书宋_GBK" w:cs="方正书宋_GBK"/>
                <w:i w:val="0"/>
                <w:snapToGrid w:val="0"/>
                <w:color w:val="auto"/>
                <w:spacing w:val="-6"/>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6"/>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能源局、发展改革委</w:t>
            </w:r>
          </w:p>
        </w:tc>
        <w:tc>
          <w:tcPr>
            <w:tcW w:w="2309" w:type="dxa"/>
            <w:tcBorders>
              <w:tl2br w:val="nil"/>
              <w:tr2bl w:val="nil"/>
            </w:tcBorders>
            <w:noWrap w:val="0"/>
            <w:tcMar>
              <w:top w:w="28" w:type="dxa"/>
              <w:left w:w="28" w:type="dxa"/>
              <w:bottom w:w="28" w:type="dxa"/>
              <w:right w:w="28" w:type="dxa"/>
            </w:tcMar>
            <w:vAlign w:val="center"/>
          </w:tcPr>
          <w:p w14:paraId="513EC9E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03C1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518" w:type="dxa"/>
            <w:tcBorders>
              <w:tl2br w:val="nil"/>
              <w:tr2bl w:val="nil"/>
            </w:tcBorders>
            <w:noWrap w:val="0"/>
            <w:tcMar>
              <w:top w:w="28" w:type="dxa"/>
              <w:left w:w="28" w:type="dxa"/>
              <w:bottom w:w="28" w:type="dxa"/>
              <w:right w:w="28" w:type="dxa"/>
            </w:tcMar>
            <w:vAlign w:val="center"/>
          </w:tcPr>
          <w:p w14:paraId="075628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32</w:t>
            </w:r>
          </w:p>
        </w:tc>
        <w:tc>
          <w:tcPr>
            <w:tcW w:w="988" w:type="dxa"/>
            <w:vMerge w:val="continue"/>
            <w:tcBorders>
              <w:tl2br w:val="nil"/>
              <w:tr2bl w:val="nil"/>
            </w:tcBorders>
            <w:noWrap w:val="0"/>
            <w:tcMar>
              <w:top w:w="28" w:type="dxa"/>
              <w:left w:w="28" w:type="dxa"/>
              <w:bottom w:w="28" w:type="dxa"/>
              <w:right w:w="28" w:type="dxa"/>
            </w:tcMar>
            <w:vAlign w:val="center"/>
          </w:tcPr>
          <w:p w14:paraId="68A13EA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D5012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规范燃气经营活动</w:t>
            </w:r>
          </w:p>
        </w:tc>
        <w:tc>
          <w:tcPr>
            <w:tcW w:w="4992" w:type="dxa"/>
            <w:tcBorders>
              <w:tl2br w:val="nil"/>
              <w:tr2bl w:val="nil"/>
            </w:tcBorders>
            <w:noWrap w:val="0"/>
            <w:tcMar>
              <w:top w:w="28" w:type="dxa"/>
              <w:left w:w="28" w:type="dxa"/>
              <w:bottom w:w="28" w:type="dxa"/>
              <w:right w:w="28" w:type="dxa"/>
            </w:tcMar>
            <w:vAlign w:val="center"/>
          </w:tcPr>
          <w:p w14:paraId="5209C6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进一步规范自治区城镇燃气经营活动，加强城镇燃气经营许可管理，认真落实《广西壮族自治区燃气经营许可管理办法》。</w:t>
            </w:r>
          </w:p>
        </w:tc>
        <w:tc>
          <w:tcPr>
            <w:tcW w:w="2251" w:type="dxa"/>
            <w:tcBorders>
              <w:tl2br w:val="nil"/>
              <w:tr2bl w:val="nil"/>
            </w:tcBorders>
            <w:noWrap w:val="0"/>
            <w:tcMar>
              <w:top w:w="28" w:type="dxa"/>
              <w:left w:w="28" w:type="dxa"/>
              <w:bottom w:w="28" w:type="dxa"/>
              <w:right w:w="28" w:type="dxa"/>
            </w:tcMar>
            <w:vAlign w:val="center"/>
          </w:tcPr>
          <w:p w14:paraId="767CF4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w:t>
            </w:r>
            <w:r>
              <w:rPr>
                <w:rFonts w:hint="eastAsia" w:eastAsia="方正书宋_GBK" w:cs="方正书宋_GBK"/>
                <w:i w:val="0"/>
                <w:snapToGrid w:val="0"/>
                <w:color w:val="auto"/>
                <w:spacing w:val="-6"/>
                <w:kern w:val="21"/>
                <w:sz w:val="22"/>
                <w:szCs w:val="22"/>
                <w:u w:val="none"/>
                <w:lang w:val="en-US" w:eastAsia="zh-CN" w:bidi="ar"/>
              </w:rPr>
              <w:t>住房和城乡建设厅</w:t>
            </w:r>
          </w:p>
        </w:tc>
        <w:tc>
          <w:tcPr>
            <w:tcW w:w="2309" w:type="dxa"/>
            <w:tcBorders>
              <w:tl2br w:val="nil"/>
              <w:tr2bl w:val="nil"/>
            </w:tcBorders>
            <w:noWrap w:val="0"/>
            <w:tcMar>
              <w:top w:w="28" w:type="dxa"/>
              <w:left w:w="28" w:type="dxa"/>
              <w:bottom w:w="28" w:type="dxa"/>
              <w:right w:w="28" w:type="dxa"/>
            </w:tcMar>
            <w:vAlign w:val="center"/>
          </w:tcPr>
          <w:p w14:paraId="408D1CF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4517E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518" w:type="dxa"/>
            <w:tcBorders>
              <w:tl2br w:val="nil"/>
              <w:tr2bl w:val="nil"/>
            </w:tcBorders>
            <w:noWrap w:val="0"/>
            <w:tcMar>
              <w:top w:w="28" w:type="dxa"/>
              <w:left w:w="28" w:type="dxa"/>
              <w:bottom w:w="28" w:type="dxa"/>
              <w:right w:w="28" w:type="dxa"/>
            </w:tcMar>
            <w:vAlign w:val="center"/>
          </w:tcPr>
          <w:p w14:paraId="06C9CB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33</w:t>
            </w:r>
          </w:p>
        </w:tc>
        <w:tc>
          <w:tcPr>
            <w:tcW w:w="988" w:type="dxa"/>
            <w:vMerge w:val="continue"/>
            <w:tcBorders>
              <w:tl2br w:val="nil"/>
              <w:tr2bl w:val="nil"/>
            </w:tcBorders>
            <w:noWrap w:val="0"/>
            <w:tcMar>
              <w:top w:w="28" w:type="dxa"/>
              <w:left w:w="28" w:type="dxa"/>
              <w:bottom w:w="28" w:type="dxa"/>
              <w:right w:w="28" w:type="dxa"/>
            </w:tcMar>
            <w:vAlign w:val="center"/>
          </w:tcPr>
          <w:p w14:paraId="45C485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08E08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推动降低企业用气成本</w:t>
            </w:r>
          </w:p>
        </w:tc>
        <w:tc>
          <w:tcPr>
            <w:tcW w:w="4992" w:type="dxa"/>
            <w:tcBorders>
              <w:tl2br w:val="nil"/>
              <w:tr2bl w:val="nil"/>
            </w:tcBorders>
            <w:noWrap w:val="0"/>
            <w:tcMar>
              <w:top w:w="28" w:type="dxa"/>
              <w:left w:w="28" w:type="dxa"/>
              <w:bottom w:w="28" w:type="dxa"/>
              <w:right w:w="28" w:type="dxa"/>
            </w:tcMar>
            <w:vAlign w:val="center"/>
          </w:tcPr>
          <w:p w14:paraId="61EDB5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推进天然气大用户市场化改革，让企业获得自主选择气源方和输气方的权利。争取更多的管制气、长协气等低价气资源。</w:t>
            </w:r>
          </w:p>
        </w:tc>
        <w:tc>
          <w:tcPr>
            <w:tcW w:w="2251" w:type="dxa"/>
            <w:tcBorders>
              <w:tl2br w:val="nil"/>
              <w:tr2bl w:val="nil"/>
            </w:tcBorders>
            <w:noWrap w:val="0"/>
            <w:tcMar>
              <w:top w:w="28" w:type="dxa"/>
              <w:left w:w="28" w:type="dxa"/>
              <w:bottom w:w="28" w:type="dxa"/>
              <w:right w:w="28" w:type="dxa"/>
            </w:tcMar>
            <w:vAlign w:val="center"/>
          </w:tcPr>
          <w:p w14:paraId="63B1FDA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3D19BE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、工业和信息化厅</w:t>
            </w:r>
          </w:p>
        </w:tc>
      </w:tr>
      <w:tr w14:paraId="7BE4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518" w:type="dxa"/>
            <w:tcBorders>
              <w:tl2br w:val="nil"/>
              <w:tr2bl w:val="nil"/>
            </w:tcBorders>
            <w:noWrap w:val="0"/>
            <w:tcMar>
              <w:top w:w="28" w:type="dxa"/>
              <w:left w:w="28" w:type="dxa"/>
              <w:bottom w:w="28" w:type="dxa"/>
              <w:right w:w="28" w:type="dxa"/>
            </w:tcMar>
            <w:vAlign w:val="center"/>
          </w:tcPr>
          <w:p w14:paraId="686A4E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34</w:t>
            </w:r>
          </w:p>
        </w:tc>
        <w:tc>
          <w:tcPr>
            <w:tcW w:w="988" w:type="dxa"/>
            <w:vMerge w:val="continue"/>
            <w:tcBorders>
              <w:tl2br w:val="nil"/>
              <w:tr2bl w:val="nil"/>
            </w:tcBorders>
            <w:noWrap w:val="0"/>
            <w:tcMar>
              <w:top w:w="28" w:type="dxa"/>
              <w:left w:w="28" w:type="dxa"/>
              <w:bottom w:w="28" w:type="dxa"/>
              <w:right w:w="28" w:type="dxa"/>
            </w:tcMar>
            <w:vAlign w:val="center"/>
          </w:tcPr>
          <w:p w14:paraId="2FE8D1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86DD10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加强天然气基础设施建设</w:t>
            </w:r>
          </w:p>
        </w:tc>
        <w:tc>
          <w:tcPr>
            <w:tcW w:w="4992" w:type="dxa"/>
            <w:tcBorders>
              <w:tl2br w:val="nil"/>
              <w:tr2bl w:val="nil"/>
            </w:tcBorders>
            <w:noWrap w:val="0"/>
            <w:tcMar>
              <w:top w:w="28" w:type="dxa"/>
              <w:left w:w="28" w:type="dxa"/>
              <w:bottom w:w="28" w:type="dxa"/>
              <w:right w:w="28" w:type="dxa"/>
            </w:tcMar>
            <w:vAlign w:val="center"/>
          </w:tcPr>
          <w:p w14:paraId="7066FB8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优化天然气相关基础设施布局并加强建设，让更多的企业用上长输管道气。</w:t>
            </w:r>
          </w:p>
        </w:tc>
        <w:tc>
          <w:tcPr>
            <w:tcW w:w="2251" w:type="dxa"/>
            <w:tcBorders>
              <w:tl2br w:val="nil"/>
              <w:tr2bl w:val="nil"/>
            </w:tcBorders>
            <w:noWrap w:val="0"/>
            <w:tcMar>
              <w:top w:w="28" w:type="dxa"/>
              <w:left w:w="28" w:type="dxa"/>
              <w:bottom w:w="28" w:type="dxa"/>
              <w:right w:w="28" w:type="dxa"/>
            </w:tcMar>
            <w:vAlign w:val="center"/>
          </w:tcPr>
          <w:p w14:paraId="7512D84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自治区能源局</w:t>
            </w:r>
          </w:p>
        </w:tc>
        <w:tc>
          <w:tcPr>
            <w:tcW w:w="2309" w:type="dxa"/>
            <w:tcBorders>
              <w:tl2br w:val="nil"/>
              <w:tr2bl w:val="nil"/>
            </w:tcBorders>
            <w:noWrap w:val="0"/>
            <w:tcMar>
              <w:top w:w="28" w:type="dxa"/>
              <w:left w:w="28" w:type="dxa"/>
              <w:bottom w:w="28" w:type="dxa"/>
              <w:right w:w="28" w:type="dxa"/>
            </w:tcMar>
            <w:vAlign w:val="center"/>
          </w:tcPr>
          <w:p w14:paraId="182EFE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40E7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08D9BE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35</w:t>
            </w:r>
          </w:p>
        </w:tc>
        <w:tc>
          <w:tcPr>
            <w:tcW w:w="988" w:type="dxa"/>
            <w:vMerge w:val="restart"/>
            <w:tcBorders>
              <w:tl2br w:val="nil"/>
              <w:tr2bl w:val="nil"/>
            </w:tcBorders>
            <w:noWrap w:val="0"/>
            <w:tcMar>
              <w:top w:w="28" w:type="dxa"/>
              <w:left w:w="28" w:type="dxa"/>
              <w:bottom w:w="28" w:type="dxa"/>
              <w:right w:w="28" w:type="dxa"/>
            </w:tcMar>
            <w:vAlign w:val="center"/>
          </w:tcPr>
          <w:p w14:paraId="32F0A9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登记财产</w:t>
            </w:r>
          </w:p>
        </w:tc>
        <w:tc>
          <w:tcPr>
            <w:tcW w:w="2038" w:type="dxa"/>
            <w:tcBorders>
              <w:tl2br w:val="nil"/>
              <w:tr2bl w:val="nil"/>
            </w:tcBorders>
            <w:noWrap w:val="0"/>
            <w:tcMar>
              <w:top w:w="28" w:type="dxa"/>
              <w:left w:w="28" w:type="dxa"/>
              <w:bottom w:w="28" w:type="dxa"/>
              <w:right w:w="28" w:type="dxa"/>
            </w:tcMar>
            <w:vAlign w:val="center"/>
          </w:tcPr>
          <w:p w14:paraId="5FF4775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推动“一窗办理、集成服务”</w:t>
            </w:r>
          </w:p>
        </w:tc>
        <w:tc>
          <w:tcPr>
            <w:tcW w:w="4992" w:type="dxa"/>
            <w:tcBorders>
              <w:tl2br w:val="nil"/>
              <w:tr2bl w:val="nil"/>
            </w:tcBorders>
            <w:noWrap w:val="0"/>
            <w:tcMar>
              <w:top w:w="28" w:type="dxa"/>
              <w:left w:w="28" w:type="dxa"/>
              <w:bottom w:w="28" w:type="dxa"/>
              <w:right w:w="28" w:type="dxa"/>
            </w:tcMar>
            <w:vAlign w:val="center"/>
          </w:tcPr>
          <w:p w14:paraId="78BCA38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持续完善综合窗口设置，整合申请材料、优化业务流程、深化信息共享和交互，推动不动产登记综合窗口向“一窗办理、集成服务”升级，提高综合窗口服务能力和业务办理比例。</w:t>
            </w:r>
          </w:p>
        </w:tc>
        <w:tc>
          <w:tcPr>
            <w:tcW w:w="2251" w:type="dxa"/>
            <w:tcBorders>
              <w:tl2br w:val="nil"/>
              <w:tr2bl w:val="nil"/>
            </w:tcBorders>
            <w:noWrap w:val="0"/>
            <w:tcMar>
              <w:top w:w="28" w:type="dxa"/>
              <w:left w:w="28" w:type="dxa"/>
              <w:bottom w:w="28" w:type="dxa"/>
              <w:right w:w="28" w:type="dxa"/>
            </w:tcMar>
            <w:vAlign w:val="center"/>
          </w:tcPr>
          <w:p w14:paraId="6C2FB6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r>
              <w:rPr>
                <w:rFonts w:hint="eastAsia" w:eastAsia="方正书宋_GBK" w:cs="方正书宋_GBK"/>
                <w:i w:val="0"/>
                <w:snapToGrid w:val="0"/>
                <w:color w:val="auto"/>
                <w:spacing w:val="0"/>
                <w:kern w:val="21"/>
                <w:sz w:val="22"/>
                <w:szCs w:val="22"/>
                <w:u w:val="none"/>
                <w:lang w:val="en-US" w:eastAsia="zh-CN" w:bidi="ar"/>
              </w:rPr>
              <w:t>住房和城乡建设厅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BEB4C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1818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518" w:type="dxa"/>
            <w:tcBorders>
              <w:tl2br w:val="nil"/>
              <w:tr2bl w:val="nil"/>
            </w:tcBorders>
            <w:noWrap w:val="0"/>
            <w:tcMar>
              <w:top w:w="28" w:type="dxa"/>
              <w:left w:w="28" w:type="dxa"/>
              <w:bottom w:w="28" w:type="dxa"/>
              <w:right w:w="28" w:type="dxa"/>
            </w:tcMar>
            <w:vAlign w:val="center"/>
          </w:tcPr>
          <w:p w14:paraId="3BFC2EA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36</w:t>
            </w:r>
          </w:p>
        </w:tc>
        <w:tc>
          <w:tcPr>
            <w:tcW w:w="988" w:type="dxa"/>
            <w:vMerge w:val="continue"/>
            <w:tcBorders>
              <w:tl2br w:val="nil"/>
              <w:tr2bl w:val="nil"/>
            </w:tcBorders>
            <w:noWrap w:val="0"/>
            <w:tcMar>
              <w:top w:w="28" w:type="dxa"/>
              <w:left w:w="28" w:type="dxa"/>
              <w:bottom w:w="28" w:type="dxa"/>
              <w:right w:w="28" w:type="dxa"/>
            </w:tcMar>
            <w:vAlign w:val="center"/>
          </w:tcPr>
          <w:p w14:paraId="5D4F6E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383C85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拓展预告登记覆盖面</w:t>
            </w:r>
          </w:p>
        </w:tc>
        <w:tc>
          <w:tcPr>
            <w:tcW w:w="4992" w:type="dxa"/>
            <w:tcBorders>
              <w:tl2br w:val="nil"/>
              <w:tr2bl w:val="nil"/>
            </w:tcBorders>
            <w:noWrap w:val="0"/>
            <w:tcMar>
              <w:top w:w="28" w:type="dxa"/>
              <w:left w:w="28" w:type="dxa"/>
              <w:bottom w:w="28" w:type="dxa"/>
              <w:right w:w="28" w:type="dxa"/>
            </w:tcMar>
            <w:vAlign w:val="center"/>
          </w:tcPr>
          <w:p w14:paraId="71AD90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全面开展预购商品房预告登记，加快推进存量房预告登记。</w:t>
            </w:r>
          </w:p>
        </w:tc>
        <w:tc>
          <w:tcPr>
            <w:tcW w:w="2251" w:type="dxa"/>
            <w:tcBorders>
              <w:tl2br w:val="nil"/>
              <w:tr2bl w:val="nil"/>
            </w:tcBorders>
            <w:noWrap w:val="0"/>
            <w:tcMar>
              <w:top w:w="28" w:type="dxa"/>
              <w:left w:w="28" w:type="dxa"/>
              <w:bottom w:w="28" w:type="dxa"/>
              <w:right w:w="28" w:type="dxa"/>
            </w:tcMar>
            <w:vAlign w:val="center"/>
          </w:tcPr>
          <w:p w14:paraId="3ADC4B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w:t>
            </w:r>
            <w:r>
              <w:rPr>
                <w:rFonts w:hint="eastAsia" w:eastAsia="方正书宋_GBK" w:cs="方正书宋_GBK"/>
                <w:i w:val="0"/>
                <w:snapToGrid w:val="0"/>
                <w:color w:val="auto"/>
                <w:spacing w:val="0"/>
                <w:kern w:val="21"/>
                <w:sz w:val="22"/>
                <w:szCs w:val="22"/>
                <w:u w:val="none"/>
                <w:lang w:val="en-US" w:eastAsia="zh-CN" w:bidi="ar"/>
              </w:rPr>
              <w:t>住房和城乡建设厅</w:t>
            </w:r>
          </w:p>
        </w:tc>
        <w:tc>
          <w:tcPr>
            <w:tcW w:w="2309" w:type="dxa"/>
            <w:tcBorders>
              <w:tl2br w:val="nil"/>
              <w:tr2bl w:val="nil"/>
            </w:tcBorders>
            <w:noWrap w:val="0"/>
            <w:tcMar>
              <w:top w:w="28" w:type="dxa"/>
              <w:left w:w="28" w:type="dxa"/>
              <w:bottom w:w="28" w:type="dxa"/>
              <w:right w:w="28" w:type="dxa"/>
            </w:tcMar>
            <w:vAlign w:val="center"/>
          </w:tcPr>
          <w:p w14:paraId="48DAB54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F22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3E6BD1B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37</w:t>
            </w:r>
          </w:p>
        </w:tc>
        <w:tc>
          <w:tcPr>
            <w:tcW w:w="988" w:type="dxa"/>
            <w:vMerge w:val="continue"/>
            <w:tcBorders>
              <w:tl2br w:val="nil"/>
              <w:tr2bl w:val="nil"/>
            </w:tcBorders>
            <w:noWrap w:val="0"/>
            <w:tcMar>
              <w:top w:w="28" w:type="dxa"/>
              <w:left w:w="28" w:type="dxa"/>
              <w:bottom w:w="28" w:type="dxa"/>
              <w:right w:w="28" w:type="dxa"/>
            </w:tcMar>
            <w:vAlign w:val="center"/>
          </w:tcPr>
          <w:p w14:paraId="28D79E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D122DB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深化“不动产登记</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税务”改革</w:t>
            </w:r>
          </w:p>
        </w:tc>
        <w:tc>
          <w:tcPr>
            <w:tcW w:w="4992" w:type="dxa"/>
            <w:tcBorders>
              <w:tl2br w:val="nil"/>
              <w:tr2bl w:val="nil"/>
            </w:tcBorders>
            <w:noWrap w:val="0"/>
            <w:tcMar>
              <w:top w:w="28" w:type="dxa"/>
              <w:left w:w="28" w:type="dxa"/>
              <w:bottom w:w="28" w:type="dxa"/>
              <w:right w:w="28" w:type="dxa"/>
            </w:tcMar>
            <w:vAlign w:val="center"/>
          </w:tcPr>
          <w:p w14:paraId="00F862A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深化“不动产登记</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税务”改革，持续优化提升“一次收缴、自动分账”工作机制。</w:t>
            </w:r>
          </w:p>
        </w:tc>
        <w:tc>
          <w:tcPr>
            <w:tcW w:w="2251" w:type="dxa"/>
            <w:tcBorders>
              <w:tl2br w:val="nil"/>
              <w:tr2bl w:val="nil"/>
            </w:tcBorders>
            <w:noWrap w:val="0"/>
            <w:tcMar>
              <w:top w:w="28" w:type="dxa"/>
              <w:left w:w="28" w:type="dxa"/>
              <w:bottom w:w="28" w:type="dxa"/>
              <w:right w:w="28" w:type="dxa"/>
            </w:tcMar>
            <w:vAlign w:val="center"/>
          </w:tcPr>
          <w:p w14:paraId="747EE1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自治区财政厅、自然资源厅，广西税务局，中国人民银行广西壮族自治区分行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85E8A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AFDC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557F13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38</w:t>
            </w:r>
          </w:p>
        </w:tc>
        <w:tc>
          <w:tcPr>
            <w:tcW w:w="988" w:type="dxa"/>
            <w:vMerge w:val="continue"/>
            <w:tcBorders>
              <w:tl2br w:val="nil"/>
              <w:tr2bl w:val="nil"/>
            </w:tcBorders>
            <w:noWrap w:val="0"/>
            <w:tcMar>
              <w:top w:w="28" w:type="dxa"/>
              <w:left w:w="28" w:type="dxa"/>
              <w:bottom w:w="28" w:type="dxa"/>
              <w:right w:w="28" w:type="dxa"/>
            </w:tcMar>
            <w:vAlign w:val="center"/>
          </w:tcPr>
          <w:p w14:paraId="113E49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FC284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推广“交地即交证”、“交房即交证”改革</w:t>
            </w:r>
          </w:p>
        </w:tc>
        <w:tc>
          <w:tcPr>
            <w:tcW w:w="4992" w:type="dxa"/>
            <w:tcBorders>
              <w:tl2br w:val="nil"/>
              <w:tr2bl w:val="nil"/>
            </w:tcBorders>
            <w:noWrap w:val="0"/>
            <w:tcMar>
              <w:top w:w="28" w:type="dxa"/>
              <w:left w:w="28" w:type="dxa"/>
              <w:bottom w:w="28" w:type="dxa"/>
              <w:right w:w="28" w:type="dxa"/>
            </w:tcMar>
            <w:vAlign w:val="center"/>
          </w:tcPr>
          <w:p w14:paraId="0B9865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持续扩大“交地即交证”、“交房即交证”改革成果惠及面，探索推动土地首次登记和土地抵押登记组合办理服务，实现“交地即交证即抵押即放款”。</w:t>
            </w:r>
          </w:p>
        </w:tc>
        <w:tc>
          <w:tcPr>
            <w:tcW w:w="2251" w:type="dxa"/>
            <w:tcBorders>
              <w:tl2br w:val="nil"/>
              <w:tr2bl w:val="nil"/>
            </w:tcBorders>
            <w:noWrap w:val="0"/>
            <w:tcMar>
              <w:top w:w="28" w:type="dxa"/>
              <w:left w:w="28" w:type="dxa"/>
              <w:bottom w:w="28" w:type="dxa"/>
              <w:right w:w="28" w:type="dxa"/>
            </w:tcMar>
            <w:vAlign w:val="center"/>
          </w:tcPr>
          <w:p w14:paraId="5A5811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6AF527C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F7C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518" w:type="dxa"/>
            <w:tcBorders>
              <w:tl2br w:val="nil"/>
              <w:tr2bl w:val="nil"/>
            </w:tcBorders>
            <w:noWrap w:val="0"/>
            <w:tcMar>
              <w:top w:w="28" w:type="dxa"/>
              <w:left w:w="28" w:type="dxa"/>
              <w:bottom w:w="28" w:type="dxa"/>
              <w:right w:w="28" w:type="dxa"/>
            </w:tcMar>
            <w:vAlign w:val="center"/>
          </w:tcPr>
          <w:p w14:paraId="39D213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39</w:t>
            </w:r>
          </w:p>
        </w:tc>
        <w:tc>
          <w:tcPr>
            <w:tcW w:w="988" w:type="dxa"/>
            <w:vMerge w:val="continue"/>
            <w:tcBorders>
              <w:tl2br w:val="nil"/>
              <w:tr2bl w:val="nil"/>
            </w:tcBorders>
            <w:noWrap w:val="0"/>
            <w:tcMar>
              <w:top w:w="28" w:type="dxa"/>
              <w:left w:w="28" w:type="dxa"/>
              <w:bottom w:w="28" w:type="dxa"/>
              <w:right w:w="28" w:type="dxa"/>
            </w:tcMar>
            <w:vAlign w:val="center"/>
          </w:tcPr>
          <w:p w14:paraId="336F577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EE975B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推行“带押过户”业务</w:t>
            </w:r>
          </w:p>
        </w:tc>
        <w:tc>
          <w:tcPr>
            <w:tcW w:w="4992" w:type="dxa"/>
            <w:tcBorders>
              <w:tl2br w:val="nil"/>
              <w:tr2bl w:val="nil"/>
            </w:tcBorders>
            <w:noWrap w:val="0"/>
            <w:tcMar>
              <w:top w:w="28" w:type="dxa"/>
              <w:left w:w="28" w:type="dxa"/>
              <w:bottom w:w="28" w:type="dxa"/>
              <w:right w:w="28" w:type="dxa"/>
            </w:tcMar>
            <w:vAlign w:val="center"/>
          </w:tcPr>
          <w:p w14:paraId="7529C6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继续推行“带押过户”业务，打通银行间跨行办理“带押过户”业务信息壁垒，实现“带押过户”跨行办理。</w:t>
            </w:r>
          </w:p>
        </w:tc>
        <w:tc>
          <w:tcPr>
            <w:tcW w:w="2251" w:type="dxa"/>
            <w:tcBorders>
              <w:tl2br w:val="nil"/>
              <w:tr2bl w:val="nil"/>
            </w:tcBorders>
            <w:noWrap w:val="0"/>
            <w:tcMar>
              <w:top w:w="28" w:type="dxa"/>
              <w:left w:w="28" w:type="dxa"/>
              <w:bottom w:w="28" w:type="dxa"/>
              <w:right w:w="28" w:type="dxa"/>
            </w:tcMar>
            <w:vAlign w:val="center"/>
          </w:tcPr>
          <w:p w14:paraId="089618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自治区自然资源厅，国家金融监督管理总局广西监管局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2475A32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4E6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jc w:val="center"/>
        </w:trPr>
        <w:tc>
          <w:tcPr>
            <w:tcW w:w="518" w:type="dxa"/>
            <w:tcBorders>
              <w:tl2br w:val="nil"/>
              <w:tr2bl w:val="nil"/>
            </w:tcBorders>
            <w:noWrap w:val="0"/>
            <w:tcMar>
              <w:top w:w="28" w:type="dxa"/>
              <w:left w:w="28" w:type="dxa"/>
              <w:bottom w:w="28" w:type="dxa"/>
              <w:right w:w="28" w:type="dxa"/>
            </w:tcMar>
            <w:vAlign w:val="center"/>
          </w:tcPr>
          <w:p w14:paraId="091656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40</w:t>
            </w:r>
          </w:p>
        </w:tc>
        <w:tc>
          <w:tcPr>
            <w:tcW w:w="988" w:type="dxa"/>
            <w:tcBorders>
              <w:tl2br w:val="nil"/>
              <w:tr2bl w:val="nil"/>
            </w:tcBorders>
            <w:noWrap w:val="0"/>
            <w:tcMar>
              <w:top w:w="28" w:type="dxa"/>
              <w:left w:w="28" w:type="dxa"/>
              <w:bottom w:w="28" w:type="dxa"/>
              <w:right w:w="28" w:type="dxa"/>
            </w:tcMar>
            <w:vAlign w:val="center"/>
          </w:tcPr>
          <w:p w14:paraId="3767CD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776CF4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深化财政金融联动政策实施</w:t>
            </w:r>
          </w:p>
        </w:tc>
        <w:tc>
          <w:tcPr>
            <w:tcW w:w="4992" w:type="dxa"/>
            <w:tcBorders>
              <w:tl2br w:val="nil"/>
              <w:tr2bl w:val="nil"/>
            </w:tcBorders>
            <w:noWrap w:val="0"/>
            <w:tcMar>
              <w:top w:w="28" w:type="dxa"/>
              <w:left w:w="28" w:type="dxa"/>
              <w:bottom w:w="28" w:type="dxa"/>
              <w:right w:w="28" w:type="dxa"/>
            </w:tcMar>
            <w:vAlign w:val="center"/>
          </w:tcPr>
          <w:p w14:paraId="062B2A1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用好“桂惠贷”政策，通过动态调度投放规模、优化产品体系及要素等措施，继续引导金融机构下沉服务重心，聚焦普惠金融、科技创新、绿色环保等重点领域，提升投放惠及面和精准度。继续围绕广西“7</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4”产业链打造特色供应链融资服务，引导金融机构加大对工业重点产业链企业支持力度，推动产业链上下游小微企业融资增长。</w:t>
            </w:r>
          </w:p>
        </w:tc>
        <w:tc>
          <w:tcPr>
            <w:tcW w:w="2251" w:type="dxa"/>
            <w:tcBorders>
              <w:tl2br w:val="nil"/>
              <w:tr2bl w:val="nil"/>
            </w:tcBorders>
            <w:noWrap w:val="0"/>
            <w:tcMar>
              <w:top w:w="28" w:type="dxa"/>
              <w:left w:w="28" w:type="dxa"/>
              <w:bottom w:w="28" w:type="dxa"/>
              <w:right w:w="28" w:type="dxa"/>
            </w:tcMar>
            <w:vAlign w:val="center"/>
          </w:tcPr>
          <w:p w14:paraId="4DF370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16C1CB0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D82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1642D33">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41</w:t>
            </w:r>
          </w:p>
        </w:tc>
        <w:tc>
          <w:tcPr>
            <w:tcW w:w="988" w:type="dxa"/>
            <w:vMerge w:val="restart"/>
            <w:tcBorders>
              <w:tl2br w:val="nil"/>
              <w:tr2bl w:val="nil"/>
            </w:tcBorders>
            <w:noWrap w:val="0"/>
            <w:tcMar>
              <w:top w:w="28" w:type="dxa"/>
              <w:left w:w="28" w:type="dxa"/>
              <w:bottom w:w="28" w:type="dxa"/>
              <w:right w:w="28" w:type="dxa"/>
            </w:tcMar>
            <w:vAlign w:val="center"/>
          </w:tcPr>
          <w:p w14:paraId="2E9FFCC9">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7EE4D7C9">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强化政府性融资担保增信功能</w:t>
            </w:r>
          </w:p>
        </w:tc>
        <w:tc>
          <w:tcPr>
            <w:tcW w:w="4992" w:type="dxa"/>
            <w:tcBorders>
              <w:tl2br w:val="nil"/>
              <w:tr2bl w:val="nil"/>
            </w:tcBorders>
            <w:noWrap w:val="0"/>
            <w:tcMar>
              <w:top w:w="28" w:type="dxa"/>
              <w:left w:w="28" w:type="dxa"/>
              <w:bottom w:w="28" w:type="dxa"/>
              <w:right w:w="28" w:type="dxa"/>
            </w:tcMar>
            <w:vAlign w:val="center"/>
          </w:tcPr>
          <w:p w14:paraId="1016A020">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融资担保对小微企业、个体工商户和“三农”服务支持力度，支持金融机构和政府性融资担保机构深化合作，大力推广“见贷即担”、“见担即贷”等批量合作模式，探索银担合作新模式，着力提升政府性融资担保机构业务的投放量、惠及面和精准度。</w:t>
            </w:r>
          </w:p>
        </w:tc>
        <w:tc>
          <w:tcPr>
            <w:tcW w:w="2251" w:type="dxa"/>
            <w:tcBorders>
              <w:tl2br w:val="nil"/>
              <w:tr2bl w:val="nil"/>
            </w:tcBorders>
            <w:noWrap w:val="0"/>
            <w:tcMar>
              <w:top w:w="28" w:type="dxa"/>
              <w:left w:w="28" w:type="dxa"/>
              <w:bottom w:w="28" w:type="dxa"/>
              <w:right w:w="28" w:type="dxa"/>
            </w:tcMar>
            <w:vAlign w:val="center"/>
          </w:tcPr>
          <w:p w14:paraId="2DBD473A">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w:t>
            </w:r>
          </w:p>
        </w:tc>
        <w:tc>
          <w:tcPr>
            <w:tcW w:w="2309" w:type="dxa"/>
            <w:tcBorders>
              <w:tl2br w:val="nil"/>
              <w:tr2bl w:val="nil"/>
            </w:tcBorders>
            <w:noWrap w:val="0"/>
            <w:tcMar>
              <w:top w:w="28" w:type="dxa"/>
              <w:left w:w="28" w:type="dxa"/>
              <w:bottom w:w="28" w:type="dxa"/>
              <w:right w:w="28" w:type="dxa"/>
            </w:tcMar>
            <w:vAlign w:val="center"/>
          </w:tcPr>
          <w:p w14:paraId="717254B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w:t>
            </w: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自治区分行，国家金融监</w:t>
            </w:r>
            <w:r>
              <w:rPr>
                <w:rFonts w:hint="eastAsia" w:ascii="Times New Roman" w:hAnsi="Times New Roman" w:eastAsia="方正书宋_GBK" w:cs="方正书宋_GBK"/>
                <w:i w:val="0"/>
                <w:snapToGrid w:val="0"/>
                <w:color w:val="auto"/>
                <w:spacing w:val="0"/>
                <w:kern w:val="21"/>
                <w:sz w:val="22"/>
                <w:szCs w:val="22"/>
                <w:u w:val="none"/>
                <w:lang w:val="en-US" w:eastAsia="zh-CN" w:bidi="ar"/>
              </w:rPr>
              <w:t>督管理总局广西监管局</w:t>
            </w:r>
          </w:p>
        </w:tc>
      </w:tr>
      <w:tr w14:paraId="2E63D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CE4466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42</w:t>
            </w:r>
          </w:p>
        </w:tc>
        <w:tc>
          <w:tcPr>
            <w:tcW w:w="988" w:type="dxa"/>
            <w:vMerge w:val="continue"/>
            <w:tcBorders>
              <w:tl2br w:val="nil"/>
              <w:tr2bl w:val="nil"/>
            </w:tcBorders>
            <w:noWrap w:val="0"/>
            <w:tcMar>
              <w:top w:w="28" w:type="dxa"/>
              <w:left w:w="28" w:type="dxa"/>
              <w:bottom w:w="28" w:type="dxa"/>
              <w:right w:w="28" w:type="dxa"/>
            </w:tcMar>
            <w:vAlign w:val="center"/>
          </w:tcPr>
          <w:p w14:paraId="27F3076A">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34CAE3F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加大资本市场服务支持力度</w:t>
            </w:r>
          </w:p>
        </w:tc>
        <w:tc>
          <w:tcPr>
            <w:tcW w:w="4992" w:type="dxa"/>
            <w:tcBorders>
              <w:tl2br w:val="nil"/>
              <w:tr2bl w:val="nil"/>
            </w:tcBorders>
            <w:noWrap w:val="0"/>
            <w:tcMar>
              <w:top w:w="28" w:type="dxa"/>
              <w:left w:w="28" w:type="dxa"/>
              <w:bottom w:w="28" w:type="dxa"/>
              <w:right w:w="28" w:type="dxa"/>
            </w:tcMar>
            <w:vAlign w:val="center"/>
          </w:tcPr>
          <w:p w14:paraId="191F04B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完善企业上市培育服务，优化“资本市场服务专家团”服务模式。推进区域性股权市场“专精特新”板和区块链建设试点工作，创新区块链应用场景，加快现有应用场景落地推广。</w:t>
            </w:r>
          </w:p>
        </w:tc>
        <w:tc>
          <w:tcPr>
            <w:tcW w:w="2251" w:type="dxa"/>
            <w:tcBorders>
              <w:tl2br w:val="nil"/>
              <w:tr2bl w:val="nil"/>
            </w:tcBorders>
            <w:noWrap w:val="0"/>
            <w:tcMar>
              <w:top w:w="28" w:type="dxa"/>
              <w:left w:w="28" w:type="dxa"/>
              <w:bottom w:w="28" w:type="dxa"/>
              <w:right w:w="28" w:type="dxa"/>
            </w:tcMar>
            <w:vAlign w:val="center"/>
          </w:tcPr>
          <w:p w14:paraId="0CD8B749">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自治区党委金融办，广西证监局</w:t>
            </w:r>
          </w:p>
        </w:tc>
        <w:tc>
          <w:tcPr>
            <w:tcW w:w="2309" w:type="dxa"/>
            <w:tcBorders>
              <w:tl2br w:val="nil"/>
              <w:tr2bl w:val="nil"/>
            </w:tcBorders>
            <w:noWrap w:val="0"/>
            <w:tcMar>
              <w:top w:w="28" w:type="dxa"/>
              <w:left w:w="28" w:type="dxa"/>
              <w:bottom w:w="28" w:type="dxa"/>
              <w:right w:w="28" w:type="dxa"/>
            </w:tcMar>
            <w:vAlign w:val="center"/>
          </w:tcPr>
          <w:p w14:paraId="260BF03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023D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96A61E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43</w:t>
            </w:r>
          </w:p>
        </w:tc>
        <w:tc>
          <w:tcPr>
            <w:tcW w:w="988" w:type="dxa"/>
            <w:vMerge w:val="continue"/>
            <w:tcBorders>
              <w:tl2br w:val="nil"/>
              <w:tr2bl w:val="nil"/>
            </w:tcBorders>
            <w:noWrap w:val="0"/>
            <w:tcMar>
              <w:top w:w="28" w:type="dxa"/>
              <w:left w:w="28" w:type="dxa"/>
              <w:bottom w:w="28" w:type="dxa"/>
              <w:right w:w="28" w:type="dxa"/>
            </w:tcMar>
            <w:vAlign w:val="center"/>
          </w:tcPr>
          <w:p w14:paraId="6223ED96">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23D3B05D">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47FDA5C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加强债券发行人培育，围绕区域产业发展规划，强化区域优势企业扶持，打造一批具有市场竞争力的高信用评级民营企业。引导有能力的企业到境内外多层次资本市场挂牌上市融资，以资本力量推动高质量发展。</w:t>
            </w:r>
          </w:p>
        </w:tc>
        <w:tc>
          <w:tcPr>
            <w:tcW w:w="2251" w:type="dxa"/>
            <w:tcBorders>
              <w:tl2br w:val="nil"/>
              <w:tr2bl w:val="nil"/>
            </w:tcBorders>
            <w:noWrap w:val="0"/>
            <w:tcMar>
              <w:top w:w="28" w:type="dxa"/>
              <w:left w:w="28" w:type="dxa"/>
              <w:bottom w:w="28" w:type="dxa"/>
              <w:right w:w="28" w:type="dxa"/>
            </w:tcMar>
            <w:vAlign w:val="center"/>
          </w:tcPr>
          <w:p w14:paraId="22CCC52A">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自治区党委金融办，广西证监局</w:t>
            </w:r>
          </w:p>
        </w:tc>
        <w:tc>
          <w:tcPr>
            <w:tcW w:w="2309" w:type="dxa"/>
            <w:tcBorders>
              <w:tl2br w:val="nil"/>
              <w:tr2bl w:val="nil"/>
            </w:tcBorders>
            <w:noWrap w:val="0"/>
            <w:tcMar>
              <w:top w:w="28" w:type="dxa"/>
              <w:left w:w="28" w:type="dxa"/>
              <w:bottom w:w="28" w:type="dxa"/>
              <w:right w:w="28" w:type="dxa"/>
            </w:tcMar>
            <w:vAlign w:val="center"/>
          </w:tcPr>
          <w:p w14:paraId="00500C4C">
            <w:pPr>
              <w:keepNext w:val="0"/>
              <w:keepLines w:val="0"/>
              <w:pageBreakBefore w:val="0"/>
              <w:widowControl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374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78329BB">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44</w:t>
            </w:r>
          </w:p>
        </w:tc>
        <w:tc>
          <w:tcPr>
            <w:tcW w:w="988" w:type="dxa"/>
            <w:vMerge w:val="continue"/>
            <w:tcBorders>
              <w:tl2br w:val="nil"/>
              <w:tr2bl w:val="nil"/>
            </w:tcBorders>
            <w:noWrap w:val="0"/>
            <w:tcMar>
              <w:top w:w="28" w:type="dxa"/>
              <w:left w:w="28" w:type="dxa"/>
              <w:bottom w:w="28" w:type="dxa"/>
              <w:right w:w="28" w:type="dxa"/>
            </w:tcMar>
            <w:vAlign w:val="center"/>
          </w:tcPr>
          <w:p w14:paraId="7F2E6857">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6BD73865">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提升融资对接服务质效</w:t>
            </w:r>
          </w:p>
        </w:tc>
        <w:tc>
          <w:tcPr>
            <w:tcW w:w="4992" w:type="dxa"/>
            <w:tcBorders>
              <w:tl2br w:val="nil"/>
              <w:tr2bl w:val="nil"/>
            </w:tcBorders>
            <w:noWrap w:val="0"/>
            <w:tcMar>
              <w:top w:w="28" w:type="dxa"/>
              <w:left w:w="28" w:type="dxa"/>
              <w:bottom w:w="28" w:type="dxa"/>
              <w:right w:w="28" w:type="dxa"/>
            </w:tcMar>
            <w:vAlign w:val="center"/>
          </w:tcPr>
          <w:p w14:paraId="45F7E9D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持续升级“线上</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线下”融资对接活动，组织开展多层级、多规格、多轮次融资对接活动，通过座谈、路演、沙龙等形式，为各类市场主体提供更加便捷高效的融资对接服务。</w:t>
            </w:r>
          </w:p>
        </w:tc>
        <w:tc>
          <w:tcPr>
            <w:tcW w:w="2251" w:type="dxa"/>
            <w:tcBorders>
              <w:tl2br w:val="nil"/>
              <w:tr2bl w:val="nil"/>
            </w:tcBorders>
            <w:noWrap w:val="0"/>
            <w:tcMar>
              <w:top w:w="28" w:type="dxa"/>
              <w:left w:w="28" w:type="dxa"/>
              <w:bottom w:w="28" w:type="dxa"/>
              <w:right w:w="28" w:type="dxa"/>
            </w:tcMar>
            <w:vAlign w:val="center"/>
          </w:tcPr>
          <w:p w14:paraId="3559A972">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自治区党委金融办，中国人民银行广西壮族自治区分行，国家金融监督管理总局广西监管局，广西证监局</w:t>
            </w:r>
          </w:p>
        </w:tc>
        <w:tc>
          <w:tcPr>
            <w:tcW w:w="2309" w:type="dxa"/>
            <w:tcBorders>
              <w:tl2br w:val="nil"/>
              <w:tr2bl w:val="nil"/>
            </w:tcBorders>
            <w:noWrap w:val="0"/>
            <w:tcMar>
              <w:top w:w="28" w:type="dxa"/>
              <w:left w:w="28" w:type="dxa"/>
              <w:bottom w:w="28" w:type="dxa"/>
              <w:right w:w="28" w:type="dxa"/>
            </w:tcMar>
            <w:vAlign w:val="center"/>
          </w:tcPr>
          <w:p w14:paraId="4D3621F6">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614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FEEA061">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45</w:t>
            </w:r>
          </w:p>
        </w:tc>
        <w:tc>
          <w:tcPr>
            <w:tcW w:w="988" w:type="dxa"/>
            <w:vMerge w:val="continue"/>
            <w:tcBorders>
              <w:tl2br w:val="nil"/>
              <w:tr2bl w:val="nil"/>
            </w:tcBorders>
            <w:noWrap w:val="0"/>
            <w:tcMar>
              <w:top w:w="28" w:type="dxa"/>
              <w:left w:w="28" w:type="dxa"/>
              <w:bottom w:w="28" w:type="dxa"/>
              <w:right w:w="28" w:type="dxa"/>
            </w:tcMar>
            <w:vAlign w:val="center"/>
          </w:tcPr>
          <w:p w14:paraId="5B7591D4">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62BD72D6">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036B084C">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引导金融机构聚焦工业制造、绿色低碳、设施农业等重点领域，加大对先进制造业、战略性新兴产业中长期信贷投入力度。</w:t>
            </w:r>
          </w:p>
        </w:tc>
        <w:tc>
          <w:tcPr>
            <w:tcW w:w="2251" w:type="dxa"/>
            <w:tcBorders>
              <w:tl2br w:val="nil"/>
              <w:tr2bl w:val="nil"/>
            </w:tcBorders>
            <w:noWrap w:val="0"/>
            <w:tcMar>
              <w:top w:w="28" w:type="dxa"/>
              <w:left w:w="28" w:type="dxa"/>
              <w:bottom w:w="28" w:type="dxa"/>
              <w:right w:w="28" w:type="dxa"/>
            </w:tcMar>
            <w:vAlign w:val="center"/>
          </w:tcPr>
          <w:p w14:paraId="6693564A">
            <w:pPr>
              <w:keepNext w:val="0"/>
              <w:keepLines w:val="0"/>
              <w:pageBreakBefore w:val="0"/>
              <w:widowControl w:val="0"/>
              <w:suppressLineNumbers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自治区党委金融办，自治区工业和信息化厅、农业农村厅，中国人民银行广西壮族自治区分行，国家金融监督管理总局广西监管局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4EA95E9C">
            <w:pPr>
              <w:keepNext w:val="0"/>
              <w:keepLines w:val="0"/>
              <w:pageBreakBefore w:val="0"/>
              <w:widowControl w:val="0"/>
              <w:kinsoku/>
              <w:wordWrap/>
              <w:overflowPunct/>
              <w:topLinePunct w:val="0"/>
              <w:autoSpaceDE/>
              <w:autoSpaceDN/>
              <w:bidi w:val="0"/>
              <w:adjustRightInd w:val="0"/>
              <w:snapToGrid w:val="0"/>
              <w:spacing w:line="31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C9B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01C50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46</w:t>
            </w:r>
          </w:p>
        </w:tc>
        <w:tc>
          <w:tcPr>
            <w:tcW w:w="988" w:type="dxa"/>
            <w:vMerge w:val="restart"/>
            <w:tcBorders>
              <w:tl2br w:val="nil"/>
              <w:tr2bl w:val="nil"/>
            </w:tcBorders>
            <w:noWrap w:val="0"/>
            <w:tcMar>
              <w:top w:w="28" w:type="dxa"/>
              <w:left w:w="28" w:type="dxa"/>
              <w:bottom w:w="28" w:type="dxa"/>
              <w:right w:w="28" w:type="dxa"/>
            </w:tcMar>
            <w:vAlign w:val="center"/>
          </w:tcPr>
          <w:p w14:paraId="191109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677B6B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提升融资对接服务质效</w:t>
            </w:r>
          </w:p>
        </w:tc>
        <w:tc>
          <w:tcPr>
            <w:tcW w:w="4992" w:type="dxa"/>
            <w:tcBorders>
              <w:tl2br w:val="nil"/>
              <w:tr2bl w:val="nil"/>
            </w:tcBorders>
            <w:noWrap w:val="0"/>
            <w:tcMar>
              <w:top w:w="28" w:type="dxa"/>
              <w:left w:w="28" w:type="dxa"/>
              <w:bottom w:w="28" w:type="dxa"/>
              <w:right w:w="28" w:type="dxa"/>
            </w:tcMar>
            <w:vAlign w:val="center"/>
          </w:tcPr>
          <w:p w14:paraId="1A82850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桂惠通”功能，完善企业上市培育、债权融资等模块，加快推进“桂惠通”、“桂信融”、“信易贷”等金融大数据平台联通，强化对民营小微企业和“三农”主体等薄弱环节线上融资服务，提升企业和金融机构双向交互便利性。</w:t>
            </w:r>
          </w:p>
        </w:tc>
        <w:tc>
          <w:tcPr>
            <w:tcW w:w="2251" w:type="dxa"/>
            <w:tcBorders>
              <w:tl2br w:val="nil"/>
              <w:tr2bl w:val="nil"/>
            </w:tcBorders>
            <w:noWrap w:val="0"/>
            <w:tcMar>
              <w:top w:w="28" w:type="dxa"/>
              <w:left w:w="28" w:type="dxa"/>
              <w:bottom w:w="28" w:type="dxa"/>
              <w:right w:w="28" w:type="dxa"/>
            </w:tcMar>
            <w:vAlign w:val="center"/>
          </w:tcPr>
          <w:p w14:paraId="68D5869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自治区党委金融办，自治区发展改革委，中国人民银行广西壮族自治区分行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8B4D27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自治区数据局，广西证监局</w:t>
            </w:r>
          </w:p>
        </w:tc>
      </w:tr>
      <w:tr w14:paraId="6956E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0AA85F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47</w:t>
            </w:r>
          </w:p>
        </w:tc>
        <w:tc>
          <w:tcPr>
            <w:tcW w:w="988" w:type="dxa"/>
            <w:vMerge w:val="continue"/>
            <w:tcBorders>
              <w:tl2br w:val="nil"/>
              <w:tr2bl w:val="nil"/>
            </w:tcBorders>
            <w:noWrap w:val="0"/>
            <w:tcMar>
              <w:top w:w="28" w:type="dxa"/>
              <w:left w:w="28" w:type="dxa"/>
              <w:bottom w:w="28" w:type="dxa"/>
              <w:right w:w="28" w:type="dxa"/>
            </w:tcMar>
            <w:vAlign w:val="center"/>
          </w:tcPr>
          <w:p w14:paraId="2D199D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6BB75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提升银行账户利企惠民质效</w:t>
            </w:r>
          </w:p>
        </w:tc>
        <w:tc>
          <w:tcPr>
            <w:tcW w:w="4992" w:type="dxa"/>
            <w:tcBorders>
              <w:tl2br w:val="nil"/>
              <w:tr2bl w:val="nil"/>
            </w:tcBorders>
            <w:noWrap w:val="0"/>
            <w:tcMar>
              <w:top w:w="28" w:type="dxa"/>
              <w:left w:w="28" w:type="dxa"/>
              <w:bottom w:w="28" w:type="dxa"/>
              <w:right w:w="28" w:type="dxa"/>
            </w:tcMar>
            <w:vAlign w:val="center"/>
          </w:tcPr>
          <w:p w14:paraId="63D3987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持续抓好支付手续费降费政策落实，督促自治区内支付服务主体落实落细支付服务各项降费政策措施，切实将支付降费红利传导至市场主体。</w:t>
            </w:r>
          </w:p>
        </w:tc>
        <w:tc>
          <w:tcPr>
            <w:tcW w:w="2251" w:type="dxa"/>
            <w:tcBorders>
              <w:tl2br w:val="nil"/>
              <w:tr2bl w:val="nil"/>
            </w:tcBorders>
            <w:noWrap w:val="0"/>
            <w:tcMar>
              <w:top w:w="28" w:type="dxa"/>
              <w:left w:w="28" w:type="dxa"/>
              <w:bottom w:w="28" w:type="dxa"/>
              <w:right w:w="28" w:type="dxa"/>
            </w:tcMar>
            <w:vAlign w:val="center"/>
          </w:tcPr>
          <w:p w14:paraId="0004CA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41D02F8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FF9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4DEB8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48</w:t>
            </w:r>
          </w:p>
        </w:tc>
        <w:tc>
          <w:tcPr>
            <w:tcW w:w="988" w:type="dxa"/>
            <w:vMerge w:val="continue"/>
            <w:tcBorders>
              <w:tl2br w:val="nil"/>
              <w:tr2bl w:val="nil"/>
            </w:tcBorders>
            <w:noWrap w:val="0"/>
            <w:tcMar>
              <w:top w:w="28" w:type="dxa"/>
              <w:left w:w="28" w:type="dxa"/>
              <w:bottom w:w="28" w:type="dxa"/>
              <w:right w:w="28" w:type="dxa"/>
            </w:tcMar>
            <w:vAlign w:val="center"/>
          </w:tcPr>
          <w:p w14:paraId="77FA70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4C7B89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强化金融政策贯彻落实</w:t>
            </w:r>
          </w:p>
        </w:tc>
        <w:tc>
          <w:tcPr>
            <w:tcW w:w="4992" w:type="dxa"/>
            <w:tcBorders>
              <w:tl2br w:val="nil"/>
              <w:tr2bl w:val="nil"/>
            </w:tcBorders>
            <w:noWrap w:val="0"/>
            <w:tcMar>
              <w:top w:w="28" w:type="dxa"/>
              <w:left w:w="28" w:type="dxa"/>
              <w:bottom w:w="28" w:type="dxa"/>
              <w:right w:w="28" w:type="dxa"/>
            </w:tcMar>
            <w:vAlign w:val="center"/>
          </w:tcPr>
          <w:p w14:paraId="10ACC2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贯彻落实《中共中央、国务院关于促进民营经济发展壮大的意见》，继续实施民营中小微企业金融服务能力提升工程，引导金融机构用好央行资金、“桂惠贷”等支持政策，抓好普惠小微贷款支持工具实施期限延长至2024年末的窗口期，加大对中小微市场主体贷款投放的力度。</w:t>
            </w:r>
          </w:p>
        </w:tc>
        <w:tc>
          <w:tcPr>
            <w:tcW w:w="2251" w:type="dxa"/>
            <w:tcBorders>
              <w:tl2br w:val="nil"/>
              <w:tr2bl w:val="nil"/>
            </w:tcBorders>
            <w:noWrap w:val="0"/>
            <w:tcMar>
              <w:top w:w="28" w:type="dxa"/>
              <w:left w:w="28" w:type="dxa"/>
              <w:bottom w:w="28" w:type="dxa"/>
              <w:right w:w="28" w:type="dxa"/>
            </w:tcMar>
            <w:vAlign w:val="center"/>
          </w:tcPr>
          <w:p w14:paraId="0657CA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56A9B7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自治区党委金融办，国家金融监督管理总局广西监管局</w:t>
            </w:r>
          </w:p>
        </w:tc>
      </w:tr>
      <w:tr w14:paraId="0C75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CC66A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49</w:t>
            </w:r>
          </w:p>
        </w:tc>
        <w:tc>
          <w:tcPr>
            <w:tcW w:w="988" w:type="dxa"/>
            <w:vMerge w:val="continue"/>
            <w:tcBorders>
              <w:tl2br w:val="nil"/>
              <w:tr2bl w:val="nil"/>
            </w:tcBorders>
            <w:noWrap w:val="0"/>
            <w:tcMar>
              <w:top w:w="28" w:type="dxa"/>
              <w:left w:w="28" w:type="dxa"/>
              <w:bottom w:w="28" w:type="dxa"/>
              <w:right w:w="28" w:type="dxa"/>
            </w:tcMar>
            <w:vAlign w:val="center"/>
          </w:tcPr>
          <w:p w14:paraId="12BF8A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8C451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强化金融财政政策联动</w:t>
            </w:r>
          </w:p>
        </w:tc>
        <w:tc>
          <w:tcPr>
            <w:tcW w:w="4992" w:type="dxa"/>
            <w:tcBorders>
              <w:tl2br w:val="nil"/>
              <w:tr2bl w:val="nil"/>
            </w:tcBorders>
            <w:noWrap w:val="0"/>
            <w:tcMar>
              <w:top w:w="28" w:type="dxa"/>
              <w:left w:w="28" w:type="dxa"/>
              <w:bottom w:w="28" w:type="dxa"/>
              <w:right w:w="28" w:type="dxa"/>
            </w:tcMar>
            <w:vAlign w:val="center"/>
          </w:tcPr>
          <w:p w14:paraId="7C7D99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加强央行低成本资金与“桂惠贷”等财政贴息产品的叠加使用，撬动更多信贷资源投入实体经济。支持我区符合条件的县（市、区）申报中央财政支持普惠金融发展示范区。</w:t>
            </w:r>
          </w:p>
        </w:tc>
        <w:tc>
          <w:tcPr>
            <w:tcW w:w="2251" w:type="dxa"/>
            <w:tcBorders>
              <w:tl2br w:val="nil"/>
              <w:tr2bl w:val="nil"/>
            </w:tcBorders>
            <w:noWrap w:val="0"/>
            <w:tcMar>
              <w:top w:w="28" w:type="dxa"/>
              <w:left w:w="28" w:type="dxa"/>
              <w:bottom w:w="28" w:type="dxa"/>
              <w:right w:w="28" w:type="dxa"/>
            </w:tcMar>
            <w:vAlign w:val="center"/>
          </w:tcPr>
          <w:p w14:paraId="739AABE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自治区党委金融办，自治区财政厅，中国人民银行广西壮族自治区分行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397D31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23D19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B03A0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50</w:t>
            </w:r>
          </w:p>
        </w:tc>
        <w:tc>
          <w:tcPr>
            <w:tcW w:w="988" w:type="dxa"/>
            <w:vMerge w:val="continue"/>
            <w:tcBorders>
              <w:tl2br w:val="nil"/>
              <w:tr2bl w:val="nil"/>
            </w:tcBorders>
            <w:noWrap w:val="0"/>
            <w:tcMar>
              <w:top w:w="28" w:type="dxa"/>
              <w:left w:w="28" w:type="dxa"/>
              <w:bottom w:w="28" w:type="dxa"/>
              <w:right w:w="28" w:type="dxa"/>
            </w:tcMar>
            <w:vAlign w:val="center"/>
          </w:tcPr>
          <w:p w14:paraId="64FF0D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1EA97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持续提升金融服务质效</w:t>
            </w:r>
          </w:p>
        </w:tc>
        <w:tc>
          <w:tcPr>
            <w:tcW w:w="4992" w:type="dxa"/>
            <w:tcBorders>
              <w:tl2br w:val="nil"/>
              <w:tr2bl w:val="nil"/>
            </w:tcBorders>
            <w:noWrap w:val="0"/>
            <w:tcMar>
              <w:top w:w="28" w:type="dxa"/>
              <w:left w:w="28" w:type="dxa"/>
              <w:bottom w:w="28" w:type="dxa"/>
              <w:right w:w="28" w:type="dxa"/>
            </w:tcMar>
            <w:vAlign w:val="center"/>
          </w:tcPr>
          <w:p w14:paraId="1F7B24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大力推广以应收账款、政府采购订单等动产为核心的线上供应链融资业务，持续推进“桂信融”平台优化与应用，为民营企业、中小微企业等市场主体提供更大范围的征信促融赋能支持。</w:t>
            </w:r>
          </w:p>
        </w:tc>
        <w:tc>
          <w:tcPr>
            <w:tcW w:w="2251" w:type="dxa"/>
            <w:tcBorders>
              <w:tl2br w:val="nil"/>
              <w:tr2bl w:val="nil"/>
            </w:tcBorders>
            <w:noWrap w:val="0"/>
            <w:tcMar>
              <w:top w:w="28" w:type="dxa"/>
              <w:left w:w="28" w:type="dxa"/>
              <w:bottom w:w="28" w:type="dxa"/>
              <w:right w:w="28" w:type="dxa"/>
            </w:tcMar>
            <w:vAlign w:val="center"/>
          </w:tcPr>
          <w:p w14:paraId="6026C0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66E7743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716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A8329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51</w:t>
            </w:r>
          </w:p>
        </w:tc>
        <w:tc>
          <w:tcPr>
            <w:tcW w:w="988" w:type="dxa"/>
            <w:vMerge w:val="continue"/>
            <w:tcBorders>
              <w:tl2br w:val="nil"/>
              <w:tr2bl w:val="nil"/>
            </w:tcBorders>
            <w:noWrap w:val="0"/>
            <w:tcMar>
              <w:top w:w="28" w:type="dxa"/>
              <w:left w:w="28" w:type="dxa"/>
              <w:bottom w:w="28" w:type="dxa"/>
              <w:right w:w="28" w:type="dxa"/>
            </w:tcMar>
            <w:vAlign w:val="center"/>
          </w:tcPr>
          <w:p w14:paraId="1DB683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4488F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强化征信服务</w:t>
            </w:r>
          </w:p>
        </w:tc>
        <w:tc>
          <w:tcPr>
            <w:tcW w:w="4992" w:type="dxa"/>
            <w:tcBorders>
              <w:tl2br w:val="nil"/>
              <w:tr2bl w:val="nil"/>
            </w:tcBorders>
            <w:noWrap w:val="0"/>
            <w:tcMar>
              <w:top w:w="28" w:type="dxa"/>
              <w:left w:w="28" w:type="dxa"/>
              <w:bottom w:w="28" w:type="dxa"/>
              <w:right w:w="28" w:type="dxa"/>
            </w:tcMar>
            <w:vAlign w:val="center"/>
          </w:tcPr>
          <w:p w14:paraId="2545D9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持续推动多渠道征信查询服务的推广应用，全力提升征信查询服务质效。积极培育市场化专业征信机构，提供多元化征信产品和服务。</w:t>
            </w:r>
          </w:p>
        </w:tc>
        <w:tc>
          <w:tcPr>
            <w:tcW w:w="2251" w:type="dxa"/>
            <w:tcBorders>
              <w:tl2br w:val="nil"/>
              <w:tr2bl w:val="nil"/>
            </w:tcBorders>
            <w:noWrap w:val="0"/>
            <w:tcMar>
              <w:top w:w="28" w:type="dxa"/>
              <w:left w:w="28" w:type="dxa"/>
              <w:bottom w:w="28" w:type="dxa"/>
              <w:right w:w="28" w:type="dxa"/>
            </w:tcMar>
            <w:vAlign w:val="center"/>
          </w:tcPr>
          <w:p w14:paraId="6B8D95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5C7D608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340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684D16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52</w:t>
            </w:r>
          </w:p>
        </w:tc>
        <w:tc>
          <w:tcPr>
            <w:tcW w:w="988" w:type="dxa"/>
            <w:vMerge w:val="restart"/>
            <w:tcBorders>
              <w:tl2br w:val="nil"/>
              <w:tr2bl w:val="nil"/>
            </w:tcBorders>
            <w:noWrap w:val="0"/>
            <w:tcMar>
              <w:top w:w="28" w:type="dxa"/>
              <w:left w:w="28" w:type="dxa"/>
              <w:bottom w:w="28" w:type="dxa"/>
              <w:right w:w="28" w:type="dxa"/>
            </w:tcMar>
            <w:vAlign w:val="center"/>
          </w:tcPr>
          <w:p w14:paraId="6092450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5441CFE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推进北部湾港航融平台应用</w:t>
            </w:r>
          </w:p>
        </w:tc>
        <w:tc>
          <w:tcPr>
            <w:tcW w:w="4992" w:type="dxa"/>
            <w:tcBorders>
              <w:tl2br w:val="nil"/>
              <w:tr2bl w:val="nil"/>
            </w:tcBorders>
            <w:noWrap w:val="0"/>
            <w:tcMar>
              <w:top w:w="28" w:type="dxa"/>
              <w:left w:w="28" w:type="dxa"/>
              <w:bottom w:w="28" w:type="dxa"/>
              <w:right w:w="28" w:type="dxa"/>
            </w:tcMar>
            <w:vAlign w:val="center"/>
          </w:tcPr>
          <w:p w14:paraId="5F5D848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加大北部湾港航融平台应用和推广工作力度，为涉外中小微企业提供高效便捷安全的融资新渠道。</w:t>
            </w:r>
          </w:p>
        </w:tc>
        <w:tc>
          <w:tcPr>
            <w:tcW w:w="2251" w:type="dxa"/>
            <w:tcBorders>
              <w:tl2br w:val="nil"/>
              <w:tr2bl w:val="nil"/>
            </w:tcBorders>
            <w:noWrap w:val="0"/>
            <w:tcMar>
              <w:top w:w="28" w:type="dxa"/>
              <w:left w:w="28" w:type="dxa"/>
              <w:bottom w:w="28" w:type="dxa"/>
              <w:right w:w="28" w:type="dxa"/>
            </w:tcMar>
            <w:vAlign w:val="center"/>
          </w:tcPr>
          <w:p w14:paraId="29C4F0E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4930A0D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EF4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A310C8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53</w:t>
            </w:r>
          </w:p>
        </w:tc>
        <w:tc>
          <w:tcPr>
            <w:tcW w:w="988" w:type="dxa"/>
            <w:vMerge w:val="continue"/>
            <w:tcBorders>
              <w:tl2br w:val="nil"/>
              <w:tr2bl w:val="nil"/>
            </w:tcBorders>
            <w:noWrap w:val="0"/>
            <w:tcMar>
              <w:top w:w="28" w:type="dxa"/>
              <w:left w:w="28" w:type="dxa"/>
              <w:bottom w:w="28" w:type="dxa"/>
              <w:right w:w="28" w:type="dxa"/>
            </w:tcMar>
            <w:vAlign w:val="center"/>
          </w:tcPr>
          <w:p w14:paraId="0C76412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E3E38D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推动跨境投融资工作</w:t>
            </w:r>
          </w:p>
        </w:tc>
        <w:tc>
          <w:tcPr>
            <w:tcW w:w="4992" w:type="dxa"/>
            <w:tcBorders>
              <w:tl2br w:val="nil"/>
              <w:tr2bl w:val="nil"/>
            </w:tcBorders>
            <w:noWrap w:val="0"/>
            <w:tcMar>
              <w:top w:w="28" w:type="dxa"/>
              <w:left w:w="28" w:type="dxa"/>
              <w:bottom w:w="28" w:type="dxa"/>
              <w:right w:w="28" w:type="dxa"/>
            </w:tcMar>
            <w:vAlign w:val="center"/>
          </w:tcPr>
          <w:p w14:paraId="47170FD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聚焦中国—东盟产业合作区建设，建设“汇小二”服务团队，深化产融结合，支持园区发展，重点帮助我区新设及重点涉外企业解决“急难愁盼”问题。适时争取增加跨境投融资政策供给，突出政策叠加的优势。</w:t>
            </w:r>
          </w:p>
        </w:tc>
        <w:tc>
          <w:tcPr>
            <w:tcW w:w="2251" w:type="dxa"/>
            <w:tcBorders>
              <w:tl2br w:val="nil"/>
              <w:tr2bl w:val="nil"/>
            </w:tcBorders>
            <w:noWrap w:val="0"/>
            <w:tcMar>
              <w:top w:w="28" w:type="dxa"/>
              <w:left w:w="28" w:type="dxa"/>
              <w:bottom w:w="28" w:type="dxa"/>
              <w:right w:w="28" w:type="dxa"/>
            </w:tcMar>
            <w:vAlign w:val="center"/>
          </w:tcPr>
          <w:p w14:paraId="0510111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5C5150B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3B21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68B4E6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54</w:t>
            </w:r>
          </w:p>
        </w:tc>
        <w:tc>
          <w:tcPr>
            <w:tcW w:w="988" w:type="dxa"/>
            <w:vMerge w:val="continue"/>
            <w:tcBorders>
              <w:tl2br w:val="nil"/>
              <w:tr2bl w:val="nil"/>
            </w:tcBorders>
            <w:noWrap w:val="0"/>
            <w:tcMar>
              <w:top w:w="28" w:type="dxa"/>
              <w:left w:w="28" w:type="dxa"/>
              <w:bottom w:w="28" w:type="dxa"/>
              <w:right w:w="28" w:type="dxa"/>
            </w:tcMar>
            <w:vAlign w:val="center"/>
          </w:tcPr>
          <w:p w14:paraId="7520555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9421D0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支持中小企业融资</w:t>
            </w:r>
          </w:p>
        </w:tc>
        <w:tc>
          <w:tcPr>
            <w:tcW w:w="4992" w:type="dxa"/>
            <w:tcBorders>
              <w:tl2br w:val="nil"/>
              <w:tr2bl w:val="nil"/>
            </w:tcBorders>
            <w:noWrap w:val="0"/>
            <w:tcMar>
              <w:top w:w="28" w:type="dxa"/>
              <w:left w:w="28" w:type="dxa"/>
              <w:bottom w:w="28" w:type="dxa"/>
              <w:right w:w="28" w:type="dxa"/>
            </w:tcMar>
            <w:vAlign w:val="center"/>
          </w:tcPr>
          <w:p w14:paraId="79BCC68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发挥中小企业贷款风险补偿资金作用，引导地方发挥融资担保效能，扩面降费，加强产业政策与财政政策协同，积极服务民营小微企业。引导我区融资担保机构加大对实体经济领域“专精特新”、创新型等优质小微企业发展的支持力度。</w:t>
            </w:r>
          </w:p>
        </w:tc>
        <w:tc>
          <w:tcPr>
            <w:tcW w:w="2251" w:type="dxa"/>
            <w:tcBorders>
              <w:tl2br w:val="nil"/>
              <w:tr2bl w:val="nil"/>
            </w:tcBorders>
            <w:noWrap w:val="0"/>
            <w:tcMar>
              <w:top w:w="28" w:type="dxa"/>
              <w:left w:w="28" w:type="dxa"/>
              <w:bottom w:w="28" w:type="dxa"/>
              <w:right w:w="28" w:type="dxa"/>
            </w:tcMar>
            <w:vAlign w:val="center"/>
          </w:tcPr>
          <w:p w14:paraId="1685BCE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自治区工业和信息化厅、财政厅</w:t>
            </w:r>
          </w:p>
        </w:tc>
        <w:tc>
          <w:tcPr>
            <w:tcW w:w="2309" w:type="dxa"/>
            <w:tcBorders>
              <w:tl2br w:val="nil"/>
              <w:tr2bl w:val="nil"/>
            </w:tcBorders>
            <w:noWrap w:val="0"/>
            <w:tcMar>
              <w:top w:w="28" w:type="dxa"/>
              <w:left w:w="28" w:type="dxa"/>
              <w:bottom w:w="28" w:type="dxa"/>
              <w:right w:w="28" w:type="dxa"/>
            </w:tcMar>
            <w:vAlign w:val="center"/>
          </w:tcPr>
          <w:p w14:paraId="4F95799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EB3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208A39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55</w:t>
            </w:r>
          </w:p>
        </w:tc>
        <w:tc>
          <w:tcPr>
            <w:tcW w:w="988" w:type="dxa"/>
            <w:vMerge w:val="continue"/>
            <w:tcBorders>
              <w:tl2br w:val="nil"/>
              <w:tr2bl w:val="nil"/>
            </w:tcBorders>
            <w:noWrap w:val="0"/>
            <w:tcMar>
              <w:top w:w="28" w:type="dxa"/>
              <w:left w:w="28" w:type="dxa"/>
              <w:bottom w:w="28" w:type="dxa"/>
              <w:right w:w="28" w:type="dxa"/>
            </w:tcMar>
            <w:vAlign w:val="center"/>
          </w:tcPr>
          <w:p w14:paraId="6CD1CF2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43A4EC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支持民营小微企业和个体工商户</w:t>
            </w:r>
          </w:p>
        </w:tc>
        <w:tc>
          <w:tcPr>
            <w:tcW w:w="4992" w:type="dxa"/>
            <w:tcBorders>
              <w:tl2br w:val="nil"/>
              <w:tr2bl w:val="nil"/>
            </w:tcBorders>
            <w:noWrap w:val="0"/>
            <w:tcMar>
              <w:top w:w="28" w:type="dxa"/>
              <w:left w:w="28" w:type="dxa"/>
              <w:bottom w:w="28" w:type="dxa"/>
              <w:right w:w="28" w:type="dxa"/>
            </w:tcMar>
            <w:vAlign w:val="center"/>
          </w:tcPr>
          <w:p w14:paraId="57F398A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加强首贷、续贷、信用贷支持。加强对创新型、科技型、“专精特新”中小微企业信贷支持。推进知识产权质押融资，落实中小微企业知识产权质押融资贴息和风险补偿政策。提升民营企业贷款占比。</w:t>
            </w:r>
          </w:p>
        </w:tc>
        <w:tc>
          <w:tcPr>
            <w:tcW w:w="2251" w:type="dxa"/>
            <w:tcBorders>
              <w:tl2br w:val="nil"/>
              <w:tr2bl w:val="nil"/>
            </w:tcBorders>
            <w:noWrap w:val="0"/>
            <w:tcMar>
              <w:top w:w="28" w:type="dxa"/>
              <w:left w:w="28" w:type="dxa"/>
              <w:bottom w:w="28" w:type="dxa"/>
              <w:right w:w="28" w:type="dxa"/>
            </w:tcMar>
            <w:vAlign w:val="center"/>
          </w:tcPr>
          <w:p w14:paraId="6861E05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26F3DC7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自治区科技厅、市场监管局</w:t>
            </w:r>
          </w:p>
        </w:tc>
      </w:tr>
      <w:tr w14:paraId="73AE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1E3A80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56</w:t>
            </w:r>
          </w:p>
        </w:tc>
        <w:tc>
          <w:tcPr>
            <w:tcW w:w="988" w:type="dxa"/>
            <w:vMerge w:val="continue"/>
            <w:tcBorders>
              <w:tl2br w:val="nil"/>
              <w:tr2bl w:val="nil"/>
            </w:tcBorders>
            <w:noWrap w:val="0"/>
            <w:tcMar>
              <w:top w:w="28" w:type="dxa"/>
              <w:left w:w="28" w:type="dxa"/>
              <w:bottom w:w="28" w:type="dxa"/>
              <w:right w:w="28" w:type="dxa"/>
            </w:tcMar>
            <w:vAlign w:val="center"/>
          </w:tcPr>
          <w:p w14:paraId="3E61BFB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EA81FB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建平台、拓渠道缓解优质企业融资问题</w:t>
            </w:r>
          </w:p>
        </w:tc>
        <w:tc>
          <w:tcPr>
            <w:tcW w:w="4992" w:type="dxa"/>
            <w:tcBorders>
              <w:tl2br w:val="nil"/>
              <w:tr2bl w:val="nil"/>
            </w:tcBorders>
            <w:noWrap w:val="0"/>
            <w:tcMar>
              <w:top w:w="28" w:type="dxa"/>
              <w:left w:w="28" w:type="dxa"/>
              <w:bottom w:w="28" w:type="dxa"/>
              <w:right w:w="28" w:type="dxa"/>
            </w:tcMar>
            <w:vAlign w:val="center"/>
          </w:tcPr>
          <w:p w14:paraId="68F35436">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充分运用“桂惠通”、“桂信融”、“信易贷”等平台，提升中小微企业融资服务能力。探索建立区域跨境金融服务平台，向银行提供企业多维度外贸经营信用数据，破解银企间信息不对称难题，增强外贸企业融资可获得性。</w:t>
            </w:r>
          </w:p>
        </w:tc>
        <w:tc>
          <w:tcPr>
            <w:tcW w:w="2251" w:type="dxa"/>
            <w:tcBorders>
              <w:tl2br w:val="nil"/>
              <w:tr2bl w:val="nil"/>
            </w:tcBorders>
            <w:noWrap w:val="0"/>
            <w:tcMar>
              <w:top w:w="28" w:type="dxa"/>
              <w:left w:w="28" w:type="dxa"/>
              <w:bottom w:w="28" w:type="dxa"/>
              <w:right w:w="28" w:type="dxa"/>
            </w:tcMar>
            <w:vAlign w:val="center"/>
          </w:tcPr>
          <w:p w14:paraId="3497FCB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自治区党委金融办，自治区数据局，中国人民银行广西壮族自治区分行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458F732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r>
      <w:tr w14:paraId="2122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E7B452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57</w:t>
            </w:r>
          </w:p>
        </w:tc>
        <w:tc>
          <w:tcPr>
            <w:tcW w:w="988" w:type="dxa"/>
            <w:vMerge w:val="continue"/>
            <w:tcBorders>
              <w:tl2br w:val="nil"/>
              <w:tr2bl w:val="nil"/>
            </w:tcBorders>
            <w:noWrap w:val="0"/>
            <w:tcMar>
              <w:top w:w="28" w:type="dxa"/>
              <w:left w:w="28" w:type="dxa"/>
              <w:bottom w:w="28" w:type="dxa"/>
              <w:right w:w="28" w:type="dxa"/>
            </w:tcMar>
            <w:vAlign w:val="center"/>
          </w:tcPr>
          <w:p w14:paraId="12D0BB8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C221AE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拓宽企业直接融资渠道</w:t>
            </w:r>
          </w:p>
        </w:tc>
        <w:tc>
          <w:tcPr>
            <w:tcW w:w="4992" w:type="dxa"/>
            <w:tcBorders>
              <w:tl2br w:val="nil"/>
              <w:tr2bl w:val="nil"/>
            </w:tcBorders>
            <w:noWrap w:val="0"/>
            <w:tcMar>
              <w:top w:w="28" w:type="dxa"/>
              <w:left w:w="28" w:type="dxa"/>
              <w:bottom w:w="28" w:type="dxa"/>
              <w:right w:w="28" w:type="dxa"/>
            </w:tcMar>
            <w:vAlign w:val="center"/>
          </w:tcPr>
          <w:p w14:paraId="6D8E29D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构建新型政银担合作关系，建立常态化银企、政企对接机制，构建多层次、全方位的金融综合服务体系。加强产业链综合金融服务，形成针对不同主体、业态、产业链特性分层分类的供应链金融支持体系。</w:t>
            </w:r>
          </w:p>
        </w:tc>
        <w:tc>
          <w:tcPr>
            <w:tcW w:w="2251" w:type="dxa"/>
            <w:tcBorders>
              <w:tl2br w:val="nil"/>
              <w:tr2bl w:val="nil"/>
            </w:tcBorders>
            <w:noWrap w:val="0"/>
            <w:tcMar>
              <w:top w:w="28" w:type="dxa"/>
              <w:left w:w="28" w:type="dxa"/>
              <w:bottom w:w="28" w:type="dxa"/>
              <w:right w:w="28" w:type="dxa"/>
            </w:tcMar>
            <w:vAlign w:val="center"/>
          </w:tcPr>
          <w:p w14:paraId="79D93B2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7550FE1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B2A9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1C6C51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58</w:t>
            </w:r>
          </w:p>
        </w:tc>
        <w:tc>
          <w:tcPr>
            <w:tcW w:w="988" w:type="dxa"/>
            <w:vMerge w:val="restart"/>
            <w:tcBorders>
              <w:tl2br w:val="nil"/>
              <w:tr2bl w:val="nil"/>
            </w:tcBorders>
            <w:noWrap w:val="0"/>
            <w:tcMar>
              <w:top w:w="28" w:type="dxa"/>
              <w:left w:w="28" w:type="dxa"/>
              <w:bottom w:w="28" w:type="dxa"/>
              <w:right w:w="28" w:type="dxa"/>
            </w:tcMar>
            <w:vAlign w:val="center"/>
          </w:tcPr>
          <w:p w14:paraId="213147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获得信贷</w:t>
            </w:r>
          </w:p>
        </w:tc>
        <w:tc>
          <w:tcPr>
            <w:tcW w:w="2038" w:type="dxa"/>
            <w:tcBorders>
              <w:tl2br w:val="nil"/>
              <w:tr2bl w:val="nil"/>
            </w:tcBorders>
            <w:noWrap w:val="0"/>
            <w:tcMar>
              <w:top w:w="28" w:type="dxa"/>
              <w:left w:w="28" w:type="dxa"/>
              <w:bottom w:w="28" w:type="dxa"/>
              <w:right w:w="28" w:type="dxa"/>
            </w:tcMar>
            <w:vAlign w:val="center"/>
          </w:tcPr>
          <w:p w14:paraId="046125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推广住建金融产品</w:t>
            </w:r>
          </w:p>
        </w:tc>
        <w:tc>
          <w:tcPr>
            <w:tcW w:w="4992" w:type="dxa"/>
            <w:tcBorders>
              <w:tl2br w:val="nil"/>
              <w:tr2bl w:val="nil"/>
            </w:tcBorders>
            <w:noWrap w:val="0"/>
            <w:tcMar>
              <w:top w:w="28" w:type="dxa"/>
              <w:left w:w="28" w:type="dxa"/>
              <w:bottom w:w="28" w:type="dxa"/>
              <w:right w:w="28" w:type="dxa"/>
            </w:tcMar>
            <w:vAlign w:val="center"/>
          </w:tcPr>
          <w:p w14:paraId="5A06566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加强“助建贷”贴息贷款推广，鼓励符合条件的企业申请贷款。</w:t>
            </w:r>
          </w:p>
        </w:tc>
        <w:tc>
          <w:tcPr>
            <w:tcW w:w="2251" w:type="dxa"/>
            <w:tcBorders>
              <w:tl2br w:val="nil"/>
              <w:tr2bl w:val="nil"/>
            </w:tcBorders>
            <w:noWrap w:val="0"/>
            <w:tcMar>
              <w:top w:w="28" w:type="dxa"/>
              <w:left w:w="28" w:type="dxa"/>
              <w:bottom w:w="28" w:type="dxa"/>
              <w:right w:w="28" w:type="dxa"/>
            </w:tcMar>
            <w:vAlign w:val="center"/>
          </w:tcPr>
          <w:p w14:paraId="6A11C0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w:t>
            </w:r>
            <w:r>
              <w:rPr>
                <w:rFonts w:hint="eastAsia" w:eastAsia="方正书宋_GBK" w:cs="方正书宋_GBK"/>
                <w:i w:val="0"/>
                <w:snapToGrid w:val="0"/>
                <w:color w:val="auto"/>
                <w:spacing w:val="-6"/>
                <w:kern w:val="21"/>
                <w:sz w:val="22"/>
                <w:szCs w:val="22"/>
                <w:u w:val="none"/>
                <w:lang w:val="en-US" w:eastAsia="zh-CN" w:bidi="ar"/>
              </w:rPr>
              <w:t>住房和城乡建设厅</w:t>
            </w:r>
          </w:p>
        </w:tc>
        <w:tc>
          <w:tcPr>
            <w:tcW w:w="2309" w:type="dxa"/>
            <w:tcBorders>
              <w:tl2br w:val="nil"/>
              <w:tr2bl w:val="nil"/>
            </w:tcBorders>
            <w:noWrap w:val="0"/>
            <w:tcMar>
              <w:top w:w="28" w:type="dxa"/>
              <w:left w:w="28" w:type="dxa"/>
              <w:bottom w:w="28" w:type="dxa"/>
              <w:right w:w="28" w:type="dxa"/>
            </w:tcMar>
            <w:vAlign w:val="center"/>
          </w:tcPr>
          <w:p w14:paraId="2A8ACC4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BD1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18" w:type="dxa"/>
            <w:tcBorders>
              <w:tl2br w:val="nil"/>
              <w:tr2bl w:val="nil"/>
            </w:tcBorders>
            <w:noWrap w:val="0"/>
            <w:tcMar>
              <w:top w:w="28" w:type="dxa"/>
              <w:left w:w="28" w:type="dxa"/>
              <w:bottom w:w="28" w:type="dxa"/>
              <w:right w:w="28" w:type="dxa"/>
            </w:tcMar>
            <w:vAlign w:val="center"/>
          </w:tcPr>
          <w:p w14:paraId="128CC5A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59</w:t>
            </w:r>
          </w:p>
        </w:tc>
        <w:tc>
          <w:tcPr>
            <w:tcW w:w="988" w:type="dxa"/>
            <w:vMerge w:val="continue"/>
            <w:tcBorders>
              <w:tl2br w:val="nil"/>
              <w:tr2bl w:val="nil"/>
            </w:tcBorders>
            <w:noWrap w:val="0"/>
            <w:tcMar>
              <w:top w:w="28" w:type="dxa"/>
              <w:left w:w="28" w:type="dxa"/>
              <w:bottom w:w="28" w:type="dxa"/>
              <w:right w:w="28" w:type="dxa"/>
            </w:tcMar>
            <w:vAlign w:val="center"/>
          </w:tcPr>
          <w:p w14:paraId="4836BC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04A0B1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推进股权融资</w:t>
            </w:r>
          </w:p>
        </w:tc>
        <w:tc>
          <w:tcPr>
            <w:tcW w:w="4992" w:type="dxa"/>
            <w:tcBorders>
              <w:tl2br w:val="nil"/>
              <w:tr2bl w:val="nil"/>
            </w:tcBorders>
            <w:noWrap w:val="0"/>
            <w:tcMar>
              <w:top w:w="28" w:type="dxa"/>
              <w:left w:w="28" w:type="dxa"/>
              <w:bottom w:w="28" w:type="dxa"/>
              <w:right w:w="28" w:type="dxa"/>
            </w:tcMar>
            <w:vAlign w:val="center"/>
          </w:tcPr>
          <w:p w14:paraId="60EAAD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推进跨境股权投资业务试点和股权市场区块链建设，为传统产业发展拓展融资渠道。</w:t>
            </w:r>
          </w:p>
        </w:tc>
        <w:tc>
          <w:tcPr>
            <w:tcW w:w="2251" w:type="dxa"/>
            <w:tcBorders>
              <w:tl2br w:val="nil"/>
              <w:tr2bl w:val="nil"/>
            </w:tcBorders>
            <w:noWrap w:val="0"/>
            <w:tcMar>
              <w:top w:w="28" w:type="dxa"/>
              <w:left w:w="28" w:type="dxa"/>
              <w:bottom w:w="28" w:type="dxa"/>
              <w:right w:w="28" w:type="dxa"/>
            </w:tcMar>
            <w:vAlign w:val="center"/>
          </w:tcPr>
          <w:p w14:paraId="025210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w:t>
            </w:r>
          </w:p>
        </w:tc>
        <w:tc>
          <w:tcPr>
            <w:tcW w:w="2309" w:type="dxa"/>
            <w:tcBorders>
              <w:tl2br w:val="nil"/>
              <w:tr2bl w:val="nil"/>
            </w:tcBorders>
            <w:noWrap w:val="0"/>
            <w:tcMar>
              <w:top w:w="28" w:type="dxa"/>
              <w:left w:w="28" w:type="dxa"/>
              <w:bottom w:w="28" w:type="dxa"/>
              <w:right w:w="28" w:type="dxa"/>
            </w:tcMar>
            <w:vAlign w:val="center"/>
          </w:tcPr>
          <w:p w14:paraId="1295ECF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r>
      <w:tr w14:paraId="1874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jc w:val="center"/>
        </w:trPr>
        <w:tc>
          <w:tcPr>
            <w:tcW w:w="518" w:type="dxa"/>
            <w:tcBorders>
              <w:tl2br w:val="nil"/>
              <w:tr2bl w:val="nil"/>
            </w:tcBorders>
            <w:noWrap w:val="0"/>
            <w:tcMar>
              <w:top w:w="28" w:type="dxa"/>
              <w:left w:w="28" w:type="dxa"/>
              <w:bottom w:w="28" w:type="dxa"/>
              <w:right w:w="28" w:type="dxa"/>
            </w:tcMar>
            <w:vAlign w:val="center"/>
          </w:tcPr>
          <w:p w14:paraId="48A113B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60</w:t>
            </w:r>
          </w:p>
        </w:tc>
        <w:tc>
          <w:tcPr>
            <w:tcW w:w="988" w:type="dxa"/>
            <w:vMerge w:val="continue"/>
            <w:tcBorders>
              <w:tl2br w:val="nil"/>
              <w:tr2bl w:val="nil"/>
            </w:tcBorders>
            <w:noWrap w:val="0"/>
            <w:tcMar>
              <w:top w:w="28" w:type="dxa"/>
              <w:left w:w="28" w:type="dxa"/>
              <w:bottom w:w="28" w:type="dxa"/>
              <w:right w:w="28" w:type="dxa"/>
            </w:tcMar>
            <w:vAlign w:val="center"/>
          </w:tcPr>
          <w:p w14:paraId="55506B2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09657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加大对科创企业金融支持力度</w:t>
            </w:r>
          </w:p>
        </w:tc>
        <w:tc>
          <w:tcPr>
            <w:tcW w:w="4992" w:type="dxa"/>
            <w:tcBorders>
              <w:tl2br w:val="nil"/>
              <w:tr2bl w:val="nil"/>
            </w:tcBorders>
            <w:noWrap w:val="0"/>
            <w:tcMar>
              <w:top w:w="28" w:type="dxa"/>
              <w:left w:w="28" w:type="dxa"/>
              <w:bottom w:w="28" w:type="dxa"/>
              <w:right w:w="28" w:type="dxa"/>
            </w:tcMar>
            <w:vAlign w:val="center"/>
          </w:tcPr>
          <w:p w14:paraId="46E9F1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定期举办高价值专利投融资对接会，拓宽金融机构与科创企业的对接渠道，优化政府性融资担保体系，政银担携手创新金融产品，提高金融支持精准度。加大对知识产权评估专业机构招商引资力度，提升知识产权评估效率。</w:t>
            </w:r>
          </w:p>
        </w:tc>
        <w:tc>
          <w:tcPr>
            <w:tcW w:w="2251" w:type="dxa"/>
            <w:tcBorders>
              <w:tl2br w:val="nil"/>
              <w:tr2bl w:val="nil"/>
            </w:tcBorders>
            <w:noWrap w:val="0"/>
            <w:tcMar>
              <w:top w:w="28" w:type="dxa"/>
              <w:left w:w="28" w:type="dxa"/>
              <w:bottom w:w="28" w:type="dxa"/>
              <w:right w:w="28" w:type="dxa"/>
            </w:tcMar>
            <w:vAlign w:val="center"/>
          </w:tcPr>
          <w:p w14:paraId="78E357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自治区党委金融办，自治区科技厅</w:t>
            </w:r>
          </w:p>
        </w:tc>
        <w:tc>
          <w:tcPr>
            <w:tcW w:w="2309" w:type="dxa"/>
            <w:tcBorders>
              <w:tl2br w:val="nil"/>
              <w:tr2bl w:val="nil"/>
            </w:tcBorders>
            <w:noWrap w:val="0"/>
            <w:tcMar>
              <w:top w:w="28" w:type="dxa"/>
              <w:left w:w="28" w:type="dxa"/>
              <w:bottom w:w="28" w:type="dxa"/>
              <w:right w:w="28" w:type="dxa"/>
            </w:tcMar>
            <w:vAlign w:val="center"/>
          </w:tcPr>
          <w:p w14:paraId="75A56CC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自治区工业和信息化厅、财政厅、市场监管局、园区办，中国人民银行广西壮族自治区分行，国家金融监督管理总局广西监管局，广西证监局</w:t>
            </w:r>
          </w:p>
        </w:tc>
      </w:tr>
      <w:tr w14:paraId="0891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518" w:type="dxa"/>
            <w:tcBorders>
              <w:tl2br w:val="nil"/>
              <w:tr2bl w:val="nil"/>
            </w:tcBorders>
            <w:noWrap w:val="0"/>
            <w:tcMar>
              <w:top w:w="28" w:type="dxa"/>
              <w:left w:w="28" w:type="dxa"/>
              <w:bottom w:w="28" w:type="dxa"/>
              <w:right w:w="28" w:type="dxa"/>
            </w:tcMar>
            <w:vAlign w:val="center"/>
          </w:tcPr>
          <w:p w14:paraId="2CA8A79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61</w:t>
            </w:r>
          </w:p>
        </w:tc>
        <w:tc>
          <w:tcPr>
            <w:tcW w:w="988" w:type="dxa"/>
            <w:vMerge w:val="continue"/>
            <w:tcBorders>
              <w:tl2br w:val="nil"/>
              <w:tr2bl w:val="nil"/>
            </w:tcBorders>
            <w:noWrap w:val="0"/>
            <w:tcMar>
              <w:top w:w="28" w:type="dxa"/>
              <w:left w:w="28" w:type="dxa"/>
              <w:bottom w:w="28" w:type="dxa"/>
              <w:right w:w="28" w:type="dxa"/>
            </w:tcMar>
            <w:vAlign w:val="center"/>
          </w:tcPr>
          <w:p w14:paraId="33DA71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90F7A3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探索应收账款担保融资</w:t>
            </w:r>
          </w:p>
        </w:tc>
        <w:tc>
          <w:tcPr>
            <w:tcW w:w="4992" w:type="dxa"/>
            <w:tcBorders>
              <w:tl2br w:val="nil"/>
              <w:tr2bl w:val="nil"/>
            </w:tcBorders>
            <w:noWrap w:val="0"/>
            <w:tcMar>
              <w:top w:w="28" w:type="dxa"/>
              <w:left w:w="28" w:type="dxa"/>
              <w:bottom w:w="28" w:type="dxa"/>
              <w:right w:w="28" w:type="dxa"/>
            </w:tcMar>
            <w:vAlign w:val="center"/>
          </w:tcPr>
          <w:p w14:paraId="1E5532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探索支持企业以应收账款申请担保融资，机关、事业单位作为应付款方收到确权请求的，及时确认债务关系。</w:t>
            </w:r>
          </w:p>
        </w:tc>
        <w:tc>
          <w:tcPr>
            <w:tcW w:w="2251" w:type="dxa"/>
            <w:tcBorders>
              <w:tl2br w:val="nil"/>
              <w:tr2bl w:val="nil"/>
            </w:tcBorders>
            <w:noWrap w:val="0"/>
            <w:tcMar>
              <w:top w:w="28" w:type="dxa"/>
              <w:left w:w="28" w:type="dxa"/>
              <w:bottom w:w="28" w:type="dxa"/>
              <w:right w:w="28" w:type="dxa"/>
            </w:tcMar>
            <w:vAlign w:val="center"/>
          </w:tcPr>
          <w:p w14:paraId="7C4237C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中国人民银行广西壮族自治区分行，各市、县人民政府</w:t>
            </w:r>
          </w:p>
        </w:tc>
        <w:tc>
          <w:tcPr>
            <w:tcW w:w="2309" w:type="dxa"/>
            <w:tcBorders>
              <w:tl2br w:val="nil"/>
              <w:tr2bl w:val="nil"/>
            </w:tcBorders>
            <w:noWrap w:val="0"/>
            <w:tcMar>
              <w:top w:w="28" w:type="dxa"/>
              <w:left w:w="28" w:type="dxa"/>
              <w:bottom w:w="28" w:type="dxa"/>
              <w:right w:w="28" w:type="dxa"/>
            </w:tcMar>
            <w:vAlign w:val="center"/>
          </w:tcPr>
          <w:p w14:paraId="45495B9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C5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518" w:type="dxa"/>
            <w:tcBorders>
              <w:tl2br w:val="nil"/>
              <w:tr2bl w:val="nil"/>
            </w:tcBorders>
            <w:noWrap w:val="0"/>
            <w:tcMar>
              <w:top w:w="28" w:type="dxa"/>
              <w:left w:w="28" w:type="dxa"/>
              <w:bottom w:w="28" w:type="dxa"/>
              <w:right w:w="28" w:type="dxa"/>
            </w:tcMar>
            <w:vAlign w:val="center"/>
          </w:tcPr>
          <w:p w14:paraId="56375B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62</w:t>
            </w:r>
          </w:p>
        </w:tc>
        <w:tc>
          <w:tcPr>
            <w:tcW w:w="988" w:type="dxa"/>
            <w:vMerge w:val="continue"/>
            <w:tcBorders>
              <w:tl2br w:val="nil"/>
              <w:tr2bl w:val="nil"/>
            </w:tcBorders>
            <w:noWrap w:val="0"/>
            <w:tcMar>
              <w:top w:w="28" w:type="dxa"/>
              <w:left w:w="28" w:type="dxa"/>
              <w:bottom w:w="28" w:type="dxa"/>
              <w:right w:w="28" w:type="dxa"/>
            </w:tcMar>
            <w:vAlign w:val="center"/>
          </w:tcPr>
          <w:p w14:paraId="4FDF25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AFAD1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加强绿色贷款</w:t>
            </w:r>
          </w:p>
        </w:tc>
        <w:tc>
          <w:tcPr>
            <w:tcW w:w="4992" w:type="dxa"/>
            <w:tcBorders>
              <w:tl2br w:val="nil"/>
              <w:tr2bl w:val="nil"/>
            </w:tcBorders>
            <w:noWrap w:val="0"/>
            <w:tcMar>
              <w:top w:w="28" w:type="dxa"/>
              <w:left w:w="28" w:type="dxa"/>
              <w:bottom w:w="28" w:type="dxa"/>
              <w:right w:w="28" w:type="dxa"/>
            </w:tcMar>
            <w:vAlign w:val="center"/>
          </w:tcPr>
          <w:p w14:paraId="51CCA4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2024年底各市绿色贷款余额较上年末增加10%。</w:t>
            </w:r>
          </w:p>
        </w:tc>
        <w:tc>
          <w:tcPr>
            <w:tcW w:w="2251" w:type="dxa"/>
            <w:tcBorders>
              <w:tl2br w:val="nil"/>
              <w:tr2bl w:val="nil"/>
            </w:tcBorders>
            <w:noWrap w:val="0"/>
            <w:tcMar>
              <w:top w:w="28" w:type="dxa"/>
              <w:left w:w="28" w:type="dxa"/>
              <w:bottom w:w="28" w:type="dxa"/>
              <w:right w:w="28" w:type="dxa"/>
            </w:tcMar>
            <w:vAlign w:val="center"/>
          </w:tcPr>
          <w:p w14:paraId="2EFAD8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自治区党委金融办，中国人民银行广西壮族自治区分行，国家金融监督管理总局广西监管局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0CD841A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C20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518" w:type="dxa"/>
            <w:tcBorders>
              <w:tl2br w:val="nil"/>
              <w:tr2bl w:val="nil"/>
            </w:tcBorders>
            <w:noWrap w:val="0"/>
            <w:tcMar>
              <w:top w:w="28" w:type="dxa"/>
              <w:left w:w="28" w:type="dxa"/>
              <w:bottom w:w="28" w:type="dxa"/>
              <w:right w:w="28" w:type="dxa"/>
            </w:tcMar>
            <w:vAlign w:val="center"/>
          </w:tcPr>
          <w:p w14:paraId="634A9F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63</w:t>
            </w:r>
          </w:p>
        </w:tc>
        <w:tc>
          <w:tcPr>
            <w:tcW w:w="988" w:type="dxa"/>
            <w:vMerge w:val="continue"/>
            <w:tcBorders>
              <w:tl2br w:val="nil"/>
              <w:tr2bl w:val="nil"/>
            </w:tcBorders>
            <w:noWrap w:val="0"/>
            <w:tcMar>
              <w:top w:w="28" w:type="dxa"/>
              <w:left w:w="28" w:type="dxa"/>
              <w:bottom w:w="28" w:type="dxa"/>
              <w:right w:w="28" w:type="dxa"/>
            </w:tcMar>
            <w:vAlign w:val="center"/>
          </w:tcPr>
          <w:p w14:paraId="3FF559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855C49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推进“信易贷”</w:t>
            </w:r>
          </w:p>
        </w:tc>
        <w:tc>
          <w:tcPr>
            <w:tcW w:w="4992" w:type="dxa"/>
            <w:tcBorders>
              <w:tl2br w:val="nil"/>
              <w:tr2bl w:val="nil"/>
            </w:tcBorders>
            <w:noWrap w:val="0"/>
            <w:tcMar>
              <w:top w:w="28" w:type="dxa"/>
              <w:left w:w="28" w:type="dxa"/>
              <w:bottom w:w="28" w:type="dxa"/>
              <w:right w:w="28" w:type="dxa"/>
            </w:tcMar>
            <w:vAlign w:val="center"/>
          </w:tcPr>
          <w:p w14:paraId="5DBFE9F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深入推进“信易贷”，助力民营企业融资发展，各市通过省级或市级“信易贷”平台助力民营企业获得融资，获融资民营企业数占本地存续企业数（含个体工商户）比例不低于万分之三。</w:t>
            </w:r>
          </w:p>
        </w:tc>
        <w:tc>
          <w:tcPr>
            <w:tcW w:w="2251" w:type="dxa"/>
            <w:tcBorders>
              <w:tl2br w:val="nil"/>
              <w:tr2bl w:val="nil"/>
            </w:tcBorders>
            <w:noWrap w:val="0"/>
            <w:tcMar>
              <w:top w:w="28" w:type="dxa"/>
              <w:left w:w="28" w:type="dxa"/>
              <w:bottom w:w="28" w:type="dxa"/>
              <w:right w:w="28" w:type="dxa"/>
            </w:tcMar>
            <w:vAlign w:val="center"/>
          </w:tcPr>
          <w:p w14:paraId="0307B3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727E112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5E2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B36C96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64</w:t>
            </w:r>
          </w:p>
        </w:tc>
        <w:tc>
          <w:tcPr>
            <w:tcW w:w="988" w:type="dxa"/>
            <w:vMerge w:val="restart"/>
            <w:tcBorders>
              <w:tl2br w:val="nil"/>
              <w:tr2bl w:val="nil"/>
            </w:tcBorders>
            <w:noWrap w:val="0"/>
            <w:tcMar>
              <w:top w:w="28" w:type="dxa"/>
              <w:left w:w="28" w:type="dxa"/>
              <w:bottom w:w="28" w:type="dxa"/>
              <w:right w:w="28" w:type="dxa"/>
            </w:tcMar>
            <w:vAlign w:val="center"/>
          </w:tcPr>
          <w:p w14:paraId="753D71B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知识产权保护和</w:t>
            </w:r>
          </w:p>
          <w:p w14:paraId="0A5DF2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运用</w:t>
            </w:r>
          </w:p>
        </w:tc>
        <w:tc>
          <w:tcPr>
            <w:tcW w:w="2038" w:type="dxa"/>
            <w:tcBorders>
              <w:tl2br w:val="nil"/>
              <w:tr2bl w:val="nil"/>
            </w:tcBorders>
            <w:noWrap w:val="0"/>
            <w:tcMar>
              <w:top w:w="28" w:type="dxa"/>
              <w:left w:w="28" w:type="dxa"/>
              <w:bottom w:w="28" w:type="dxa"/>
              <w:right w:w="28" w:type="dxa"/>
            </w:tcMar>
            <w:vAlign w:val="center"/>
          </w:tcPr>
          <w:p w14:paraId="337E51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加强平台建设</w:t>
            </w:r>
          </w:p>
        </w:tc>
        <w:tc>
          <w:tcPr>
            <w:tcW w:w="4992" w:type="dxa"/>
            <w:tcBorders>
              <w:tl2br w:val="nil"/>
              <w:tr2bl w:val="nil"/>
            </w:tcBorders>
            <w:noWrap w:val="0"/>
            <w:tcMar>
              <w:top w:w="28" w:type="dxa"/>
              <w:left w:w="28" w:type="dxa"/>
              <w:bottom w:w="28" w:type="dxa"/>
              <w:right w:w="28" w:type="dxa"/>
            </w:tcMar>
            <w:vAlign w:val="center"/>
          </w:tcPr>
          <w:p w14:paraId="4CB7913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高标准建设南宁市知识产权保护中心，建强用好国家级知识产权保护平台。</w:t>
            </w:r>
          </w:p>
        </w:tc>
        <w:tc>
          <w:tcPr>
            <w:tcW w:w="2251" w:type="dxa"/>
            <w:tcBorders>
              <w:tl2br w:val="nil"/>
              <w:tr2bl w:val="nil"/>
            </w:tcBorders>
            <w:noWrap w:val="0"/>
            <w:tcMar>
              <w:top w:w="28" w:type="dxa"/>
              <w:left w:w="28" w:type="dxa"/>
              <w:bottom w:w="28" w:type="dxa"/>
              <w:right w:w="28" w:type="dxa"/>
            </w:tcMar>
            <w:vAlign w:val="center"/>
          </w:tcPr>
          <w:p w14:paraId="0DB374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南宁市人民政府，自治区市场监管局</w:t>
            </w:r>
          </w:p>
        </w:tc>
        <w:tc>
          <w:tcPr>
            <w:tcW w:w="2309" w:type="dxa"/>
            <w:tcBorders>
              <w:tl2br w:val="nil"/>
              <w:tr2bl w:val="nil"/>
            </w:tcBorders>
            <w:noWrap w:val="0"/>
            <w:tcMar>
              <w:top w:w="28" w:type="dxa"/>
              <w:left w:w="28" w:type="dxa"/>
              <w:bottom w:w="28" w:type="dxa"/>
              <w:right w:w="28" w:type="dxa"/>
            </w:tcMar>
            <w:vAlign w:val="center"/>
          </w:tcPr>
          <w:p w14:paraId="6B2ADDB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425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39EA8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65</w:t>
            </w:r>
          </w:p>
        </w:tc>
        <w:tc>
          <w:tcPr>
            <w:tcW w:w="988" w:type="dxa"/>
            <w:vMerge w:val="continue"/>
            <w:tcBorders>
              <w:tl2br w:val="nil"/>
              <w:tr2bl w:val="nil"/>
            </w:tcBorders>
            <w:noWrap w:val="0"/>
            <w:tcMar>
              <w:top w:w="28" w:type="dxa"/>
              <w:left w:w="28" w:type="dxa"/>
              <w:bottom w:w="28" w:type="dxa"/>
              <w:right w:w="28" w:type="dxa"/>
            </w:tcMar>
            <w:vAlign w:val="center"/>
          </w:tcPr>
          <w:p w14:paraId="3EB54B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58299F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加强知识产权保护</w:t>
            </w:r>
          </w:p>
        </w:tc>
        <w:tc>
          <w:tcPr>
            <w:tcW w:w="4992" w:type="dxa"/>
            <w:tcBorders>
              <w:tl2br w:val="nil"/>
              <w:tr2bl w:val="nil"/>
            </w:tcBorders>
            <w:noWrap w:val="0"/>
            <w:tcMar>
              <w:top w:w="28" w:type="dxa"/>
              <w:left w:w="28" w:type="dxa"/>
              <w:bottom w:w="28" w:type="dxa"/>
              <w:right w:w="28" w:type="dxa"/>
            </w:tcMar>
            <w:vAlign w:val="center"/>
          </w:tcPr>
          <w:p w14:paraId="70200B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全链条加大知识产权保护力度，全面落实知识产权侵权惩罚性赔偿制度，提高知识产权保护专业化、现代化、智能化水平。</w:t>
            </w:r>
          </w:p>
        </w:tc>
        <w:tc>
          <w:tcPr>
            <w:tcW w:w="2251" w:type="dxa"/>
            <w:tcBorders>
              <w:tl2br w:val="nil"/>
              <w:tr2bl w:val="nil"/>
            </w:tcBorders>
            <w:noWrap w:val="0"/>
            <w:tcMar>
              <w:top w:w="28" w:type="dxa"/>
              <w:left w:w="28" w:type="dxa"/>
              <w:bottom w:w="28" w:type="dxa"/>
              <w:right w:w="28" w:type="dxa"/>
            </w:tcMar>
            <w:vAlign w:val="center"/>
          </w:tcPr>
          <w:p w14:paraId="50FEB1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自治区高级法院，自治区版权局、市场监管局、文化和旅游厅、农业农村厅、</w:t>
            </w:r>
            <w:r>
              <w:rPr>
                <w:rFonts w:hint="eastAsia" w:eastAsia="方正书宋_GBK" w:cs="方正书宋_GBK"/>
                <w:i w:val="0"/>
                <w:snapToGrid w:val="0"/>
                <w:color w:val="auto"/>
                <w:spacing w:val="0"/>
                <w:kern w:val="21"/>
                <w:sz w:val="22"/>
                <w:szCs w:val="22"/>
                <w:u w:val="none"/>
                <w:lang w:val="en-US" w:eastAsia="zh-CN" w:bidi="ar"/>
              </w:rPr>
              <w:t>林业和草原局</w:t>
            </w:r>
          </w:p>
        </w:tc>
        <w:tc>
          <w:tcPr>
            <w:tcW w:w="2309" w:type="dxa"/>
            <w:tcBorders>
              <w:tl2br w:val="nil"/>
              <w:tr2bl w:val="nil"/>
            </w:tcBorders>
            <w:noWrap w:val="0"/>
            <w:tcMar>
              <w:top w:w="28" w:type="dxa"/>
              <w:left w:w="28" w:type="dxa"/>
              <w:bottom w:w="28" w:type="dxa"/>
              <w:right w:w="28" w:type="dxa"/>
            </w:tcMar>
            <w:vAlign w:val="center"/>
          </w:tcPr>
          <w:p w14:paraId="1A2E24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C791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518" w:type="dxa"/>
            <w:tcBorders>
              <w:tl2br w:val="nil"/>
              <w:tr2bl w:val="nil"/>
            </w:tcBorders>
            <w:noWrap w:val="0"/>
            <w:tcMar>
              <w:top w:w="28" w:type="dxa"/>
              <w:left w:w="28" w:type="dxa"/>
              <w:bottom w:w="28" w:type="dxa"/>
              <w:right w:w="28" w:type="dxa"/>
            </w:tcMar>
            <w:vAlign w:val="center"/>
          </w:tcPr>
          <w:p w14:paraId="65F915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66</w:t>
            </w:r>
          </w:p>
        </w:tc>
        <w:tc>
          <w:tcPr>
            <w:tcW w:w="988" w:type="dxa"/>
            <w:vMerge w:val="continue"/>
            <w:tcBorders>
              <w:tl2br w:val="nil"/>
              <w:tr2bl w:val="nil"/>
            </w:tcBorders>
            <w:noWrap w:val="0"/>
            <w:tcMar>
              <w:top w:w="28" w:type="dxa"/>
              <w:left w:w="28" w:type="dxa"/>
              <w:bottom w:w="28" w:type="dxa"/>
              <w:right w:w="28" w:type="dxa"/>
            </w:tcMar>
            <w:vAlign w:val="center"/>
          </w:tcPr>
          <w:p w14:paraId="3A8465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5FEDE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加强知识产权创造运用</w:t>
            </w:r>
          </w:p>
        </w:tc>
        <w:tc>
          <w:tcPr>
            <w:tcW w:w="4992" w:type="dxa"/>
            <w:tcBorders>
              <w:tl2br w:val="nil"/>
              <w:tr2bl w:val="nil"/>
            </w:tcBorders>
            <w:noWrap w:val="0"/>
            <w:tcMar>
              <w:top w:w="28" w:type="dxa"/>
              <w:left w:w="28" w:type="dxa"/>
              <w:bottom w:w="28" w:type="dxa"/>
              <w:right w:w="28" w:type="dxa"/>
            </w:tcMar>
            <w:vAlign w:val="center"/>
          </w:tcPr>
          <w:p w14:paraId="1743C3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深入实施广西专利转化专项计划，支持高校院所15家以上、企业120家以上，促进专利转化运用2300项以上。推荐申报中国专利奖项目20件以上。</w:t>
            </w:r>
          </w:p>
        </w:tc>
        <w:tc>
          <w:tcPr>
            <w:tcW w:w="2251" w:type="dxa"/>
            <w:tcBorders>
              <w:tl2br w:val="nil"/>
              <w:tr2bl w:val="nil"/>
            </w:tcBorders>
            <w:noWrap w:val="0"/>
            <w:tcMar>
              <w:top w:w="28" w:type="dxa"/>
              <w:left w:w="28" w:type="dxa"/>
              <w:bottom w:w="28" w:type="dxa"/>
              <w:right w:w="28" w:type="dxa"/>
            </w:tcMar>
            <w:vAlign w:val="center"/>
          </w:tcPr>
          <w:p w14:paraId="54E869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6479E2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r>
      <w:tr w14:paraId="7A49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518" w:type="dxa"/>
            <w:tcBorders>
              <w:tl2br w:val="nil"/>
              <w:tr2bl w:val="nil"/>
            </w:tcBorders>
            <w:noWrap w:val="0"/>
            <w:tcMar>
              <w:top w:w="28" w:type="dxa"/>
              <w:left w:w="28" w:type="dxa"/>
              <w:bottom w:w="28" w:type="dxa"/>
              <w:right w:w="28" w:type="dxa"/>
            </w:tcMar>
            <w:vAlign w:val="center"/>
          </w:tcPr>
          <w:p w14:paraId="1DD232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67</w:t>
            </w:r>
          </w:p>
        </w:tc>
        <w:tc>
          <w:tcPr>
            <w:tcW w:w="988" w:type="dxa"/>
            <w:vMerge w:val="continue"/>
            <w:tcBorders>
              <w:tl2br w:val="nil"/>
              <w:tr2bl w:val="nil"/>
            </w:tcBorders>
            <w:noWrap w:val="0"/>
            <w:tcMar>
              <w:top w:w="28" w:type="dxa"/>
              <w:left w:w="28" w:type="dxa"/>
              <w:bottom w:w="28" w:type="dxa"/>
              <w:right w:w="28" w:type="dxa"/>
            </w:tcMar>
            <w:vAlign w:val="center"/>
          </w:tcPr>
          <w:p w14:paraId="5C69BB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9065FF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推进地理标志品牌建设</w:t>
            </w:r>
          </w:p>
        </w:tc>
        <w:tc>
          <w:tcPr>
            <w:tcW w:w="4992" w:type="dxa"/>
            <w:tcBorders>
              <w:tl2br w:val="nil"/>
              <w:tr2bl w:val="nil"/>
            </w:tcBorders>
            <w:noWrap w:val="0"/>
            <w:tcMar>
              <w:top w:w="28" w:type="dxa"/>
              <w:left w:w="28" w:type="dxa"/>
              <w:bottom w:w="28" w:type="dxa"/>
              <w:right w:w="28" w:type="dxa"/>
            </w:tcMar>
            <w:vAlign w:val="center"/>
          </w:tcPr>
          <w:p w14:paraId="5B0015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深入实施地理标志商标助力乡村振兴工程，扎实推进“地理标志品牌</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”专项计划，建设一批地理标志运用促进工程项目，助推地方特色产业发展，赋能乡村振兴。</w:t>
            </w:r>
          </w:p>
        </w:tc>
        <w:tc>
          <w:tcPr>
            <w:tcW w:w="2251" w:type="dxa"/>
            <w:tcBorders>
              <w:tl2br w:val="nil"/>
              <w:tr2bl w:val="nil"/>
            </w:tcBorders>
            <w:noWrap w:val="0"/>
            <w:tcMar>
              <w:top w:w="28" w:type="dxa"/>
              <w:left w:w="28" w:type="dxa"/>
              <w:bottom w:w="28" w:type="dxa"/>
              <w:right w:w="28" w:type="dxa"/>
            </w:tcMar>
            <w:vAlign w:val="center"/>
          </w:tcPr>
          <w:p w14:paraId="75E464C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73A2EA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广西贸促会</w:t>
            </w:r>
          </w:p>
        </w:tc>
      </w:tr>
      <w:tr w14:paraId="53A1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518" w:type="dxa"/>
            <w:tcBorders>
              <w:tl2br w:val="nil"/>
              <w:tr2bl w:val="nil"/>
            </w:tcBorders>
            <w:noWrap w:val="0"/>
            <w:tcMar>
              <w:top w:w="28" w:type="dxa"/>
              <w:left w:w="28" w:type="dxa"/>
              <w:bottom w:w="28" w:type="dxa"/>
              <w:right w:w="28" w:type="dxa"/>
            </w:tcMar>
            <w:vAlign w:val="center"/>
          </w:tcPr>
          <w:p w14:paraId="6D4243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68</w:t>
            </w:r>
          </w:p>
        </w:tc>
        <w:tc>
          <w:tcPr>
            <w:tcW w:w="988" w:type="dxa"/>
            <w:vMerge w:val="continue"/>
            <w:tcBorders>
              <w:tl2br w:val="nil"/>
              <w:tr2bl w:val="nil"/>
            </w:tcBorders>
            <w:noWrap w:val="0"/>
            <w:tcMar>
              <w:top w:w="28" w:type="dxa"/>
              <w:left w:w="28" w:type="dxa"/>
              <w:bottom w:w="28" w:type="dxa"/>
              <w:right w:w="28" w:type="dxa"/>
            </w:tcMar>
            <w:vAlign w:val="center"/>
          </w:tcPr>
          <w:p w14:paraId="73F3F38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7B9D4A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加强知识产权海外风险防控工作</w:t>
            </w:r>
          </w:p>
        </w:tc>
        <w:tc>
          <w:tcPr>
            <w:tcW w:w="4992" w:type="dxa"/>
            <w:tcBorders>
              <w:tl2br w:val="nil"/>
              <w:tr2bl w:val="nil"/>
            </w:tcBorders>
            <w:noWrap w:val="0"/>
            <w:tcMar>
              <w:top w:w="28" w:type="dxa"/>
              <w:left w:w="28" w:type="dxa"/>
              <w:bottom w:w="28" w:type="dxa"/>
              <w:right w:w="28" w:type="dxa"/>
            </w:tcMar>
            <w:vAlign w:val="center"/>
          </w:tcPr>
          <w:p w14:paraId="001A4A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完善海外知识产权风险防控体系，聚焦国际贸易知识产权纠纷风险及商事法律服务救济等工作，向企业提供风险防控培训、风险评估和维权援助服务。</w:t>
            </w:r>
          </w:p>
        </w:tc>
        <w:tc>
          <w:tcPr>
            <w:tcW w:w="2251" w:type="dxa"/>
            <w:tcBorders>
              <w:tl2br w:val="nil"/>
              <w:tr2bl w:val="nil"/>
            </w:tcBorders>
            <w:noWrap w:val="0"/>
            <w:tcMar>
              <w:top w:w="28" w:type="dxa"/>
              <w:left w:w="28" w:type="dxa"/>
              <w:bottom w:w="28" w:type="dxa"/>
              <w:right w:w="28" w:type="dxa"/>
            </w:tcMar>
            <w:vAlign w:val="center"/>
          </w:tcPr>
          <w:p w14:paraId="42DBCD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自治区市场监管局、商务厅，广西贸促会</w:t>
            </w:r>
          </w:p>
        </w:tc>
        <w:tc>
          <w:tcPr>
            <w:tcW w:w="2309" w:type="dxa"/>
            <w:tcBorders>
              <w:tl2br w:val="nil"/>
              <w:tr2bl w:val="nil"/>
            </w:tcBorders>
            <w:noWrap w:val="0"/>
            <w:tcMar>
              <w:top w:w="28" w:type="dxa"/>
              <w:left w:w="28" w:type="dxa"/>
              <w:bottom w:w="28" w:type="dxa"/>
              <w:right w:w="28" w:type="dxa"/>
            </w:tcMar>
            <w:vAlign w:val="center"/>
          </w:tcPr>
          <w:p w14:paraId="6E75334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706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23D0D82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69</w:t>
            </w:r>
          </w:p>
        </w:tc>
        <w:tc>
          <w:tcPr>
            <w:tcW w:w="988" w:type="dxa"/>
            <w:vMerge w:val="continue"/>
            <w:tcBorders>
              <w:tl2br w:val="nil"/>
              <w:tr2bl w:val="nil"/>
            </w:tcBorders>
            <w:noWrap w:val="0"/>
            <w:tcMar>
              <w:top w:w="28" w:type="dxa"/>
              <w:left w:w="28" w:type="dxa"/>
              <w:bottom w:w="28" w:type="dxa"/>
              <w:right w:w="28" w:type="dxa"/>
            </w:tcMar>
            <w:vAlign w:val="center"/>
          </w:tcPr>
          <w:p w14:paraId="5A29EC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2132E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健全海外知识产权维权援助机制</w:t>
            </w:r>
          </w:p>
        </w:tc>
        <w:tc>
          <w:tcPr>
            <w:tcW w:w="4992" w:type="dxa"/>
            <w:tcBorders>
              <w:tl2br w:val="nil"/>
              <w:tr2bl w:val="nil"/>
            </w:tcBorders>
            <w:noWrap w:val="0"/>
            <w:tcMar>
              <w:top w:w="28" w:type="dxa"/>
              <w:left w:w="28" w:type="dxa"/>
              <w:bottom w:w="28" w:type="dxa"/>
              <w:right w:w="28" w:type="dxa"/>
            </w:tcMar>
            <w:vAlign w:val="center"/>
          </w:tcPr>
          <w:p w14:paraId="343A0E7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健全海外知识产权维权援助机制，保护企业正当合法权益。</w:t>
            </w:r>
          </w:p>
        </w:tc>
        <w:tc>
          <w:tcPr>
            <w:tcW w:w="2251" w:type="dxa"/>
            <w:tcBorders>
              <w:tl2br w:val="nil"/>
              <w:tr2bl w:val="nil"/>
            </w:tcBorders>
            <w:noWrap w:val="0"/>
            <w:tcMar>
              <w:top w:w="28" w:type="dxa"/>
              <w:left w:w="28" w:type="dxa"/>
              <w:bottom w:w="28" w:type="dxa"/>
              <w:right w:w="28" w:type="dxa"/>
            </w:tcMar>
            <w:vAlign w:val="center"/>
          </w:tcPr>
          <w:p w14:paraId="7FA991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54790B7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DB0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18" w:type="dxa"/>
            <w:tcBorders>
              <w:tl2br w:val="nil"/>
              <w:tr2bl w:val="nil"/>
            </w:tcBorders>
            <w:noWrap w:val="0"/>
            <w:tcMar>
              <w:top w:w="28" w:type="dxa"/>
              <w:left w:w="28" w:type="dxa"/>
              <w:bottom w:w="28" w:type="dxa"/>
              <w:right w:w="28" w:type="dxa"/>
            </w:tcMar>
            <w:vAlign w:val="center"/>
          </w:tcPr>
          <w:p w14:paraId="2A67B3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70</w:t>
            </w:r>
          </w:p>
        </w:tc>
        <w:tc>
          <w:tcPr>
            <w:tcW w:w="988" w:type="dxa"/>
            <w:vMerge w:val="continue"/>
            <w:tcBorders>
              <w:tl2br w:val="nil"/>
              <w:tr2bl w:val="nil"/>
            </w:tcBorders>
            <w:noWrap w:val="0"/>
            <w:tcMar>
              <w:top w:w="28" w:type="dxa"/>
              <w:left w:w="28" w:type="dxa"/>
              <w:bottom w:w="28" w:type="dxa"/>
              <w:right w:w="28" w:type="dxa"/>
            </w:tcMar>
            <w:vAlign w:val="center"/>
          </w:tcPr>
          <w:p w14:paraId="048DEAC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90F60F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知识产权政策保障</w:t>
            </w:r>
          </w:p>
        </w:tc>
        <w:tc>
          <w:tcPr>
            <w:tcW w:w="4992" w:type="dxa"/>
            <w:tcBorders>
              <w:tl2br w:val="nil"/>
              <w:tr2bl w:val="nil"/>
            </w:tcBorders>
            <w:noWrap w:val="0"/>
            <w:tcMar>
              <w:top w:w="28" w:type="dxa"/>
              <w:left w:w="28" w:type="dxa"/>
              <w:bottom w:w="28" w:type="dxa"/>
              <w:right w:w="28" w:type="dxa"/>
            </w:tcMar>
            <w:vAlign w:val="center"/>
          </w:tcPr>
          <w:p w14:paraId="29A4CC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推动出台广西壮族自治区知识产权保护和促进条例，推动修订《广西壮族自治区专利条例》。</w:t>
            </w:r>
          </w:p>
        </w:tc>
        <w:tc>
          <w:tcPr>
            <w:tcW w:w="2251" w:type="dxa"/>
            <w:tcBorders>
              <w:tl2br w:val="nil"/>
              <w:tr2bl w:val="nil"/>
            </w:tcBorders>
            <w:noWrap w:val="0"/>
            <w:tcMar>
              <w:top w:w="28" w:type="dxa"/>
              <w:left w:w="28" w:type="dxa"/>
              <w:bottom w:w="28" w:type="dxa"/>
              <w:right w:w="28" w:type="dxa"/>
            </w:tcMar>
            <w:vAlign w:val="center"/>
          </w:tcPr>
          <w:p w14:paraId="63432A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350F77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r>
      <w:tr w14:paraId="53E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8A3EC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71</w:t>
            </w:r>
          </w:p>
        </w:tc>
        <w:tc>
          <w:tcPr>
            <w:tcW w:w="988" w:type="dxa"/>
            <w:vMerge w:val="continue"/>
            <w:tcBorders>
              <w:tl2br w:val="nil"/>
              <w:tr2bl w:val="nil"/>
            </w:tcBorders>
            <w:noWrap w:val="0"/>
            <w:tcMar>
              <w:top w:w="28" w:type="dxa"/>
              <w:left w:w="28" w:type="dxa"/>
              <w:bottom w:w="28" w:type="dxa"/>
              <w:right w:w="28" w:type="dxa"/>
            </w:tcMar>
            <w:vAlign w:val="center"/>
          </w:tcPr>
          <w:p w14:paraId="07A2968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3E476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构建质量治理体系</w:t>
            </w:r>
          </w:p>
        </w:tc>
        <w:tc>
          <w:tcPr>
            <w:tcW w:w="4992" w:type="dxa"/>
            <w:tcBorders>
              <w:tl2br w:val="nil"/>
              <w:tr2bl w:val="nil"/>
            </w:tcBorders>
            <w:noWrap w:val="0"/>
            <w:tcMar>
              <w:top w:w="28" w:type="dxa"/>
              <w:left w:w="28" w:type="dxa"/>
              <w:bottom w:w="28" w:type="dxa"/>
              <w:right w:w="28" w:type="dxa"/>
            </w:tcMar>
            <w:vAlign w:val="center"/>
          </w:tcPr>
          <w:p w14:paraId="598D93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健全各级人民政府和企业质量奖制度，完善质量考核及激励约束机制。建立全区经营主体质量评价、发布体系。</w:t>
            </w:r>
          </w:p>
        </w:tc>
        <w:tc>
          <w:tcPr>
            <w:tcW w:w="2251" w:type="dxa"/>
            <w:tcBorders>
              <w:tl2br w:val="nil"/>
              <w:tr2bl w:val="nil"/>
            </w:tcBorders>
            <w:noWrap w:val="0"/>
            <w:tcMar>
              <w:top w:w="28" w:type="dxa"/>
              <w:left w:w="28" w:type="dxa"/>
              <w:bottom w:w="28" w:type="dxa"/>
              <w:right w:w="28" w:type="dxa"/>
            </w:tcMar>
            <w:vAlign w:val="center"/>
          </w:tcPr>
          <w:p w14:paraId="7BDB41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39AABF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自治区实施质量强桂战略工作领导小组其他成员单位</w:t>
            </w:r>
          </w:p>
        </w:tc>
      </w:tr>
      <w:tr w14:paraId="3C67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9D40A7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72</w:t>
            </w:r>
          </w:p>
        </w:tc>
        <w:tc>
          <w:tcPr>
            <w:tcW w:w="988" w:type="dxa"/>
            <w:vMerge w:val="restart"/>
            <w:tcBorders>
              <w:tl2br w:val="nil"/>
              <w:tr2bl w:val="nil"/>
            </w:tcBorders>
            <w:noWrap w:val="0"/>
            <w:tcMar>
              <w:top w:w="28" w:type="dxa"/>
              <w:left w:w="28" w:type="dxa"/>
              <w:bottom w:w="28" w:type="dxa"/>
              <w:right w:w="28" w:type="dxa"/>
            </w:tcMar>
            <w:vAlign w:val="center"/>
          </w:tcPr>
          <w:p w14:paraId="5C2DC9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知识产权保护和</w:t>
            </w:r>
          </w:p>
          <w:p w14:paraId="73C25FA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运用</w:t>
            </w:r>
          </w:p>
        </w:tc>
        <w:tc>
          <w:tcPr>
            <w:tcW w:w="2038" w:type="dxa"/>
            <w:tcBorders>
              <w:tl2br w:val="nil"/>
              <w:tr2bl w:val="nil"/>
            </w:tcBorders>
            <w:noWrap w:val="0"/>
            <w:tcMar>
              <w:top w:w="28" w:type="dxa"/>
              <w:left w:w="28" w:type="dxa"/>
              <w:bottom w:w="28" w:type="dxa"/>
              <w:right w:w="28" w:type="dxa"/>
            </w:tcMar>
            <w:vAlign w:val="center"/>
          </w:tcPr>
          <w:p w14:paraId="0761F2F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实施质量品牌行动</w:t>
            </w:r>
          </w:p>
        </w:tc>
        <w:tc>
          <w:tcPr>
            <w:tcW w:w="4992" w:type="dxa"/>
            <w:tcBorders>
              <w:tl2br w:val="nil"/>
              <w:tr2bl w:val="nil"/>
            </w:tcBorders>
            <w:noWrap w:val="0"/>
            <w:tcMar>
              <w:top w:w="28" w:type="dxa"/>
              <w:left w:w="28" w:type="dxa"/>
              <w:bottom w:w="28" w:type="dxa"/>
              <w:right w:w="28" w:type="dxa"/>
            </w:tcMar>
            <w:vAlign w:val="center"/>
          </w:tcPr>
          <w:p w14:paraId="0598F9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实施质量品牌强市、强县、强园区、强链、强企行动，围绕产业发展需要，建设一批国家级产品质量计量标准、检验检测中心。推进质量基础设施“一站式”服务平台覆盖全区，力争短期内广西制造业质量竞争指数、产品质量合格率等重点指标实现大幅提升，达到全国中上水平。</w:t>
            </w:r>
          </w:p>
        </w:tc>
        <w:tc>
          <w:tcPr>
            <w:tcW w:w="2251" w:type="dxa"/>
            <w:tcBorders>
              <w:tl2br w:val="nil"/>
              <w:tr2bl w:val="nil"/>
            </w:tcBorders>
            <w:noWrap w:val="0"/>
            <w:tcMar>
              <w:top w:w="28" w:type="dxa"/>
              <w:left w:w="28" w:type="dxa"/>
              <w:bottom w:w="28" w:type="dxa"/>
              <w:right w:w="28" w:type="dxa"/>
            </w:tcMar>
            <w:vAlign w:val="center"/>
          </w:tcPr>
          <w:p w14:paraId="4E901E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23D0D7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自治区实施质量强桂战略工作领导小组其他成员单位</w:t>
            </w:r>
          </w:p>
        </w:tc>
      </w:tr>
      <w:tr w14:paraId="6CCB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67E96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73</w:t>
            </w:r>
          </w:p>
        </w:tc>
        <w:tc>
          <w:tcPr>
            <w:tcW w:w="988" w:type="dxa"/>
            <w:vMerge w:val="continue"/>
            <w:tcBorders>
              <w:tl2br w:val="nil"/>
              <w:tr2bl w:val="nil"/>
            </w:tcBorders>
            <w:noWrap w:val="0"/>
            <w:tcMar>
              <w:top w:w="28" w:type="dxa"/>
              <w:left w:w="28" w:type="dxa"/>
              <w:bottom w:w="28" w:type="dxa"/>
              <w:right w:w="28" w:type="dxa"/>
            </w:tcMar>
            <w:vAlign w:val="center"/>
          </w:tcPr>
          <w:p w14:paraId="45F3FB5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58DFC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共建标准联盟</w:t>
            </w:r>
          </w:p>
        </w:tc>
        <w:tc>
          <w:tcPr>
            <w:tcW w:w="4992" w:type="dxa"/>
            <w:tcBorders>
              <w:tl2br w:val="nil"/>
              <w:tr2bl w:val="nil"/>
            </w:tcBorders>
            <w:noWrap w:val="0"/>
            <w:tcMar>
              <w:top w:w="28" w:type="dxa"/>
              <w:left w:w="28" w:type="dxa"/>
              <w:bottom w:w="28" w:type="dxa"/>
              <w:right w:w="28" w:type="dxa"/>
            </w:tcMar>
            <w:vAlign w:val="center"/>
          </w:tcPr>
          <w:p w14:paraId="1DCF24C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与重庆、四川、云南、贵州、新疆等省（区、市）的标准化机构、企业和协会等，共同成立西部陆海新通道标准化联盟。</w:t>
            </w:r>
          </w:p>
        </w:tc>
        <w:tc>
          <w:tcPr>
            <w:tcW w:w="2251" w:type="dxa"/>
            <w:tcBorders>
              <w:tl2br w:val="nil"/>
              <w:tr2bl w:val="nil"/>
            </w:tcBorders>
            <w:noWrap w:val="0"/>
            <w:tcMar>
              <w:top w:w="28" w:type="dxa"/>
              <w:left w:w="28" w:type="dxa"/>
              <w:bottom w:w="28" w:type="dxa"/>
              <w:right w:w="28" w:type="dxa"/>
            </w:tcMar>
            <w:vAlign w:val="center"/>
          </w:tcPr>
          <w:p w14:paraId="0A6D44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71FCB91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E022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D5153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74</w:t>
            </w:r>
          </w:p>
        </w:tc>
        <w:tc>
          <w:tcPr>
            <w:tcW w:w="988" w:type="dxa"/>
            <w:vMerge w:val="restart"/>
            <w:tcBorders>
              <w:tl2br w:val="nil"/>
              <w:tr2bl w:val="nil"/>
            </w:tcBorders>
            <w:noWrap w:val="0"/>
            <w:tcMar>
              <w:top w:w="28" w:type="dxa"/>
              <w:left w:w="28" w:type="dxa"/>
              <w:bottom w:w="28" w:type="dxa"/>
              <w:right w:w="28" w:type="dxa"/>
            </w:tcMar>
            <w:vAlign w:val="center"/>
          </w:tcPr>
          <w:p w14:paraId="4A125E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005802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推进多式联运深度融合发展</w:t>
            </w:r>
          </w:p>
        </w:tc>
        <w:tc>
          <w:tcPr>
            <w:tcW w:w="4992" w:type="dxa"/>
            <w:tcBorders>
              <w:tl2br w:val="nil"/>
              <w:tr2bl w:val="nil"/>
            </w:tcBorders>
            <w:noWrap w:val="0"/>
            <w:tcMar>
              <w:top w:w="28" w:type="dxa"/>
              <w:left w:w="28" w:type="dxa"/>
              <w:bottom w:w="28" w:type="dxa"/>
              <w:right w:w="28" w:type="dxa"/>
            </w:tcMar>
            <w:vAlign w:val="center"/>
          </w:tcPr>
          <w:p w14:paraId="29B32C3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建立多式联运公共信息平台，实现海运、空运、铁路、公路运输信息共享，构建货运信息可查、全程实时追踪的多式联运体系。推动大宗货物和集装箱中长距离运输“公转铁”、“公转水”，推进货运运输工具、载运装备等设施和相关单证标准化建设，提升货物运输效率。</w:t>
            </w:r>
          </w:p>
        </w:tc>
        <w:tc>
          <w:tcPr>
            <w:tcW w:w="2251" w:type="dxa"/>
            <w:tcBorders>
              <w:tl2br w:val="nil"/>
              <w:tr2bl w:val="nil"/>
            </w:tcBorders>
            <w:noWrap w:val="0"/>
            <w:tcMar>
              <w:top w:w="28" w:type="dxa"/>
              <w:left w:w="28" w:type="dxa"/>
              <w:bottom w:w="28" w:type="dxa"/>
              <w:right w:w="28" w:type="dxa"/>
            </w:tcMar>
            <w:vAlign w:val="center"/>
          </w:tcPr>
          <w:p w14:paraId="1108332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自治区交通运输厅</w:t>
            </w:r>
          </w:p>
        </w:tc>
        <w:tc>
          <w:tcPr>
            <w:tcW w:w="2309" w:type="dxa"/>
            <w:tcBorders>
              <w:tl2br w:val="nil"/>
              <w:tr2bl w:val="nil"/>
            </w:tcBorders>
            <w:noWrap w:val="0"/>
            <w:tcMar>
              <w:top w:w="28" w:type="dxa"/>
              <w:left w:w="28" w:type="dxa"/>
              <w:bottom w:w="28" w:type="dxa"/>
              <w:right w:w="28" w:type="dxa"/>
            </w:tcMar>
            <w:vAlign w:val="center"/>
          </w:tcPr>
          <w:p w14:paraId="7B3FEB7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自治区发展改革委、财政厅、园区办，中国铁路南宁局集团有限公司</w:t>
            </w:r>
          </w:p>
        </w:tc>
      </w:tr>
      <w:tr w14:paraId="1D1A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13BC7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75</w:t>
            </w:r>
          </w:p>
        </w:tc>
        <w:tc>
          <w:tcPr>
            <w:tcW w:w="988" w:type="dxa"/>
            <w:vMerge w:val="continue"/>
            <w:tcBorders>
              <w:tl2br w:val="nil"/>
              <w:tr2bl w:val="nil"/>
            </w:tcBorders>
            <w:noWrap w:val="0"/>
            <w:tcMar>
              <w:top w:w="28" w:type="dxa"/>
              <w:left w:w="28" w:type="dxa"/>
              <w:bottom w:w="28" w:type="dxa"/>
              <w:right w:w="28" w:type="dxa"/>
            </w:tcMar>
            <w:vAlign w:val="center"/>
          </w:tcPr>
          <w:p w14:paraId="472F90B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72B14C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推动海铁联运信息共享</w:t>
            </w:r>
          </w:p>
        </w:tc>
        <w:tc>
          <w:tcPr>
            <w:tcW w:w="4992" w:type="dxa"/>
            <w:tcBorders>
              <w:tl2br w:val="nil"/>
              <w:tr2bl w:val="nil"/>
            </w:tcBorders>
            <w:noWrap w:val="0"/>
            <w:tcMar>
              <w:top w:w="28" w:type="dxa"/>
              <w:left w:w="28" w:type="dxa"/>
              <w:bottom w:w="28" w:type="dxa"/>
              <w:right w:w="28" w:type="dxa"/>
            </w:tcMar>
            <w:vAlign w:val="center"/>
          </w:tcPr>
          <w:p w14:paraId="7F1A36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完善公共信息平台，打通钦州铁路集装箱中心站自动化码头、海关、铁路、船公司等多主体之间的信息系统。推动海铁联运各环节信息高效互通共享，实现海铁联运信息一体化。</w:t>
            </w:r>
          </w:p>
        </w:tc>
        <w:tc>
          <w:tcPr>
            <w:tcW w:w="2251" w:type="dxa"/>
            <w:tcBorders>
              <w:tl2br w:val="nil"/>
              <w:tr2bl w:val="nil"/>
            </w:tcBorders>
            <w:noWrap w:val="0"/>
            <w:tcMar>
              <w:top w:w="28" w:type="dxa"/>
              <w:left w:w="28" w:type="dxa"/>
              <w:bottom w:w="28" w:type="dxa"/>
              <w:right w:w="28" w:type="dxa"/>
            </w:tcMar>
            <w:vAlign w:val="center"/>
          </w:tcPr>
          <w:p w14:paraId="35F1EA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自治区发展改革委，广西北部湾国际港务集团，中铁联合国际集装箱广西有限公司，中国铁路南宁局集团有限公司</w:t>
            </w:r>
          </w:p>
        </w:tc>
        <w:tc>
          <w:tcPr>
            <w:tcW w:w="2309" w:type="dxa"/>
            <w:tcBorders>
              <w:tl2br w:val="nil"/>
              <w:tr2bl w:val="nil"/>
            </w:tcBorders>
            <w:noWrap w:val="0"/>
            <w:tcMar>
              <w:top w:w="28" w:type="dxa"/>
              <w:left w:w="28" w:type="dxa"/>
              <w:bottom w:w="28" w:type="dxa"/>
              <w:right w:w="28" w:type="dxa"/>
            </w:tcMar>
            <w:vAlign w:val="center"/>
          </w:tcPr>
          <w:p w14:paraId="62C5CE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自治区交通运输厅、园区办，南宁海关，钦州市人民政府</w:t>
            </w:r>
          </w:p>
        </w:tc>
      </w:tr>
      <w:tr w14:paraId="03DD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F1F9D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76</w:t>
            </w:r>
          </w:p>
        </w:tc>
        <w:tc>
          <w:tcPr>
            <w:tcW w:w="988" w:type="dxa"/>
            <w:vMerge w:val="continue"/>
            <w:tcBorders>
              <w:tl2br w:val="nil"/>
              <w:tr2bl w:val="nil"/>
            </w:tcBorders>
            <w:noWrap w:val="0"/>
            <w:tcMar>
              <w:top w:w="28" w:type="dxa"/>
              <w:left w:w="28" w:type="dxa"/>
              <w:bottom w:w="28" w:type="dxa"/>
              <w:right w:w="28" w:type="dxa"/>
            </w:tcMar>
            <w:vAlign w:val="center"/>
          </w:tcPr>
          <w:p w14:paraId="175DD1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64566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保障集装箱供给</w:t>
            </w:r>
          </w:p>
        </w:tc>
        <w:tc>
          <w:tcPr>
            <w:tcW w:w="4992" w:type="dxa"/>
            <w:tcBorders>
              <w:tl2br w:val="nil"/>
              <w:tr2bl w:val="nil"/>
            </w:tcBorders>
            <w:noWrap w:val="0"/>
            <w:tcMar>
              <w:top w:w="28" w:type="dxa"/>
              <w:left w:w="28" w:type="dxa"/>
              <w:bottom w:w="28" w:type="dxa"/>
              <w:right w:w="28" w:type="dxa"/>
            </w:tcMar>
            <w:vAlign w:val="center"/>
          </w:tcPr>
          <w:p w14:paraId="1ABBE2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推动集装箱收储、船代等中介服务向内陆多式联运站点延伸。做好空箱回流工作，增加集装箱供应。</w:t>
            </w:r>
          </w:p>
        </w:tc>
        <w:tc>
          <w:tcPr>
            <w:tcW w:w="2251" w:type="dxa"/>
            <w:tcBorders>
              <w:tl2br w:val="nil"/>
              <w:tr2bl w:val="nil"/>
            </w:tcBorders>
            <w:noWrap w:val="0"/>
            <w:tcMar>
              <w:top w:w="28" w:type="dxa"/>
              <w:left w:w="28" w:type="dxa"/>
              <w:bottom w:w="28" w:type="dxa"/>
              <w:right w:w="28" w:type="dxa"/>
            </w:tcMar>
            <w:vAlign w:val="center"/>
          </w:tcPr>
          <w:p w14:paraId="0565750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自治区园区办，中国铁路南宁局集团有限公司，广西北部湾国际港务集团</w:t>
            </w:r>
          </w:p>
        </w:tc>
        <w:tc>
          <w:tcPr>
            <w:tcW w:w="2309" w:type="dxa"/>
            <w:tcBorders>
              <w:tl2br w:val="nil"/>
              <w:tr2bl w:val="nil"/>
            </w:tcBorders>
            <w:noWrap w:val="0"/>
            <w:tcMar>
              <w:top w:w="28" w:type="dxa"/>
              <w:left w:w="28" w:type="dxa"/>
              <w:bottom w:w="28" w:type="dxa"/>
              <w:right w:w="28" w:type="dxa"/>
            </w:tcMar>
            <w:vAlign w:val="center"/>
          </w:tcPr>
          <w:p w14:paraId="7AE2AB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自治区发展改革委，北海、钦州、防城港市人民政府</w:t>
            </w:r>
          </w:p>
        </w:tc>
      </w:tr>
      <w:tr w14:paraId="3A4A7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702A8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77</w:t>
            </w:r>
          </w:p>
        </w:tc>
        <w:tc>
          <w:tcPr>
            <w:tcW w:w="988" w:type="dxa"/>
            <w:vMerge w:val="restart"/>
            <w:tcBorders>
              <w:tl2br w:val="nil"/>
              <w:tr2bl w:val="nil"/>
            </w:tcBorders>
            <w:noWrap w:val="0"/>
            <w:tcMar>
              <w:top w:w="28" w:type="dxa"/>
              <w:left w:w="28" w:type="dxa"/>
              <w:bottom w:w="28" w:type="dxa"/>
              <w:right w:w="28" w:type="dxa"/>
            </w:tcMar>
            <w:vAlign w:val="center"/>
          </w:tcPr>
          <w:p w14:paraId="0EB8E9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595A2B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加大AEO企业培育</w:t>
            </w:r>
          </w:p>
        </w:tc>
        <w:tc>
          <w:tcPr>
            <w:tcW w:w="4992" w:type="dxa"/>
            <w:tcBorders>
              <w:tl2br w:val="nil"/>
              <w:tr2bl w:val="nil"/>
            </w:tcBorders>
            <w:noWrap w:val="0"/>
            <w:tcMar>
              <w:top w:w="28" w:type="dxa"/>
              <w:left w:w="28" w:type="dxa"/>
              <w:bottom w:w="28" w:type="dxa"/>
              <w:right w:w="28" w:type="dxa"/>
            </w:tcMar>
            <w:vAlign w:val="center"/>
          </w:tcPr>
          <w:p w14:paraId="0BEAA3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加大AEO企业培育和服务力度，推动更多企业通过认证，持续推动落实联合激励措施。</w:t>
            </w:r>
          </w:p>
        </w:tc>
        <w:tc>
          <w:tcPr>
            <w:tcW w:w="2251" w:type="dxa"/>
            <w:tcBorders>
              <w:tl2br w:val="nil"/>
              <w:tr2bl w:val="nil"/>
            </w:tcBorders>
            <w:noWrap w:val="0"/>
            <w:tcMar>
              <w:top w:w="28" w:type="dxa"/>
              <w:left w:w="28" w:type="dxa"/>
              <w:bottom w:w="28" w:type="dxa"/>
              <w:right w:w="28" w:type="dxa"/>
            </w:tcMar>
            <w:vAlign w:val="center"/>
          </w:tcPr>
          <w:p w14:paraId="217149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南宁海关</w:t>
            </w:r>
          </w:p>
        </w:tc>
        <w:tc>
          <w:tcPr>
            <w:tcW w:w="2309" w:type="dxa"/>
            <w:tcBorders>
              <w:tl2br w:val="nil"/>
              <w:tr2bl w:val="nil"/>
            </w:tcBorders>
            <w:noWrap w:val="0"/>
            <w:tcMar>
              <w:top w:w="28" w:type="dxa"/>
              <w:left w:w="28" w:type="dxa"/>
              <w:bottom w:w="28" w:type="dxa"/>
              <w:right w:w="28" w:type="dxa"/>
            </w:tcMar>
            <w:vAlign w:val="center"/>
          </w:tcPr>
          <w:p w14:paraId="6BB5291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4BD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3794FE8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78</w:t>
            </w:r>
          </w:p>
        </w:tc>
        <w:tc>
          <w:tcPr>
            <w:tcW w:w="988" w:type="dxa"/>
            <w:vMerge w:val="continue"/>
            <w:tcBorders>
              <w:tl2br w:val="nil"/>
              <w:tr2bl w:val="nil"/>
            </w:tcBorders>
            <w:noWrap w:val="0"/>
            <w:tcMar>
              <w:top w:w="28" w:type="dxa"/>
              <w:left w:w="28" w:type="dxa"/>
              <w:bottom w:w="28" w:type="dxa"/>
              <w:right w:w="28" w:type="dxa"/>
            </w:tcMar>
            <w:vAlign w:val="center"/>
          </w:tcPr>
          <w:p w14:paraId="5C5806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87DE3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加快推进智慧口岸监管创新</w:t>
            </w:r>
          </w:p>
        </w:tc>
        <w:tc>
          <w:tcPr>
            <w:tcW w:w="4992" w:type="dxa"/>
            <w:tcBorders>
              <w:tl2br w:val="nil"/>
              <w:tr2bl w:val="nil"/>
            </w:tcBorders>
            <w:noWrap w:val="0"/>
            <w:tcMar>
              <w:top w:w="28" w:type="dxa"/>
              <w:left w:w="28" w:type="dxa"/>
              <w:bottom w:w="28" w:type="dxa"/>
              <w:right w:w="28" w:type="dxa"/>
            </w:tcMar>
            <w:vAlign w:val="center"/>
          </w:tcPr>
          <w:p w14:paraId="6412DAB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争取国家部委支持推进智慧口岸监管创新，以适应智慧口岸24小时不间断无人化智慧通关要求，实现“三减一降一提升”目标。</w:t>
            </w:r>
          </w:p>
        </w:tc>
        <w:tc>
          <w:tcPr>
            <w:tcW w:w="2251" w:type="dxa"/>
            <w:tcBorders>
              <w:tl2br w:val="nil"/>
              <w:tr2bl w:val="nil"/>
            </w:tcBorders>
            <w:noWrap w:val="0"/>
            <w:tcMar>
              <w:top w:w="28" w:type="dxa"/>
              <w:left w:w="28" w:type="dxa"/>
              <w:bottom w:w="28" w:type="dxa"/>
              <w:right w:w="28" w:type="dxa"/>
            </w:tcMar>
            <w:vAlign w:val="center"/>
          </w:tcPr>
          <w:p w14:paraId="32D056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自治区商务厅，南宁海关，广西出入境边防检查总站</w:t>
            </w:r>
          </w:p>
        </w:tc>
        <w:tc>
          <w:tcPr>
            <w:tcW w:w="2309" w:type="dxa"/>
            <w:tcBorders>
              <w:tl2br w:val="nil"/>
              <w:tr2bl w:val="nil"/>
            </w:tcBorders>
            <w:noWrap w:val="0"/>
            <w:tcMar>
              <w:top w:w="28" w:type="dxa"/>
              <w:left w:w="28" w:type="dxa"/>
              <w:bottom w:w="28" w:type="dxa"/>
              <w:right w:w="28" w:type="dxa"/>
            </w:tcMar>
            <w:vAlign w:val="center"/>
          </w:tcPr>
          <w:p w14:paraId="4F96327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C242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jc w:val="center"/>
        </w:trPr>
        <w:tc>
          <w:tcPr>
            <w:tcW w:w="518" w:type="dxa"/>
            <w:tcBorders>
              <w:tl2br w:val="nil"/>
              <w:tr2bl w:val="nil"/>
            </w:tcBorders>
            <w:noWrap w:val="0"/>
            <w:tcMar>
              <w:top w:w="28" w:type="dxa"/>
              <w:left w:w="28" w:type="dxa"/>
              <w:bottom w:w="28" w:type="dxa"/>
              <w:right w:w="28" w:type="dxa"/>
            </w:tcMar>
            <w:vAlign w:val="center"/>
          </w:tcPr>
          <w:p w14:paraId="6EEEBD5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79</w:t>
            </w:r>
          </w:p>
        </w:tc>
        <w:tc>
          <w:tcPr>
            <w:tcW w:w="988" w:type="dxa"/>
            <w:vMerge w:val="continue"/>
            <w:tcBorders>
              <w:tl2br w:val="nil"/>
              <w:tr2bl w:val="nil"/>
            </w:tcBorders>
            <w:noWrap w:val="0"/>
            <w:tcMar>
              <w:top w:w="28" w:type="dxa"/>
              <w:left w:w="28" w:type="dxa"/>
              <w:bottom w:w="28" w:type="dxa"/>
              <w:right w:w="28" w:type="dxa"/>
            </w:tcMar>
            <w:vAlign w:val="center"/>
          </w:tcPr>
          <w:p w14:paraId="079570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15BA7C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加快中银香港东南亚业务运营中心建设</w:t>
            </w:r>
          </w:p>
        </w:tc>
        <w:tc>
          <w:tcPr>
            <w:tcW w:w="4992" w:type="dxa"/>
            <w:tcBorders>
              <w:tl2br w:val="nil"/>
              <w:tr2bl w:val="nil"/>
            </w:tcBorders>
            <w:noWrap w:val="0"/>
            <w:tcMar>
              <w:top w:w="28" w:type="dxa"/>
              <w:left w:w="28" w:type="dxa"/>
              <w:bottom w:w="28" w:type="dxa"/>
              <w:right w:w="28" w:type="dxa"/>
            </w:tcMar>
            <w:vAlign w:val="center"/>
          </w:tcPr>
          <w:p w14:paraId="202AF8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中银香港东南亚业务运营中心建设，吸引更多香港及东南亚的业务迁移至南宁；引进更多国内外金融专业人才落户南宁，依托广西大学、广西民族大学继续加强本土小语种人才、跨境金融人才的培养和梯队建设；加快南宁金融中心大楼建设进度，不断完善基础设施。</w:t>
            </w:r>
          </w:p>
        </w:tc>
        <w:tc>
          <w:tcPr>
            <w:tcW w:w="2251" w:type="dxa"/>
            <w:tcBorders>
              <w:tl2br w:val="nil"/>
              <w:tr2bl w:val="nil"/>
            </w:tcBorders>
            <w:noWrap w:val="0"/>
            <w:tcMar>
              <w:top w:w="28" w:type="dxa"/>
              <w:left w:w="28" w:type="dxa"/>
              <w:bottom w:w="28" w:type="dxa"/>
              <w:right w:w="28" w:type="dxa"/>
            </w:tcMar>
            <w:vAlign w:val="center"/>
          </w:tcPr>
          <w:p w14:paraId="634CFC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30B2320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r>
      <w:tr w14:paraId="6D313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759E5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80</w:t>
            </w:r>
          </w:p>
        </w:tc>
        <w:tc>
          <w:tcPr>
            <w:tcW w:w="988" w:type="dxa"/>
            <w:vMerge w:val="continue"/>
            <w:tcBorders>
              <w:tl2br w:val="nil"/>
              <w:tr2bl w:val="nil"/>
            </w:tcBorders>
            <w:noWrap w:val="0"/>
            <w:tcMar>
              <w:top w:w="28" w:type="dxa"/>
              <w:left w:w="28" w:type="dxa"/>
              <w:bottom w:w="28" w:type="dxa"/>
              <w:right w:w="28" w:type="dxa"/>
            </w:tcMar>
            <w:vAlign w:val="center"/>
          </w:tcPr>
          <w:p w14:paraId="55D1F0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5D5F0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提高口岸通关效能</w:t>
            </w:r>
          </w:p>
        </w:tc>
        <w:tc>
          <w:tcPr>
            <w:tcW w:w="4992" w:type="dxa"/>
            <w:tcBorders>
              <w:tl2br w:val="nil"/>
              <w:tr2bl w:val="nil"/>
            </w:tcBorders>
            <w:noWrap w:val="0"/>
            <w:tcMar>
              <w:top w:w="28" w:type="dxa"/>
              <w:left w:w="28" w:type="dxa"/>
              <w:bottom w:w="28" w:type="dxa"/>
              <w:right w:w="28" w:type="dxa"/>
            </w:tcMar>
            <w:vAlign w:val="center"/>
          </w:tcPr>
          <w:p w14:paraId="364A619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船边直提”、“抵港直装”等通关便利化改革试点，港口、机场、路港、铁路场站运营单位明确并全面公开调货、移位、卸装等物流作业时限及流程，将通关时间稳固在合理区间内，为广大企业提供相对稳定的通关预期。</w:t>
            </w:r>
          </w:p>
        </w:tc>
        <w:tc>
          <w:tcPr>
            <w:tcW w:w="2251" w:type="dxa"/>
            <w:tcBorders>
              <w:tl2br w:val="nil"/>
              <w:tr2bl w:val="nil"/>
            </w:tcBorders>
            <w:noWrap w:val="0"/>
            <w:tcMar>
              <w:top w:w="28" w:type="dxa"/>
              <w:left w:w="28" w:type="dxa"/>
              <w:bottom w:w="28" w:type="dxa"/>
              <w:right w:w="28" w:type="dxa"/>
            </w:tcMar>
            <w:vAlign w:val="center"/>
          </w:tcPr>
          <w:p w14:paraId="2254B7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南宁海关</w:t>
            </w:r>
          </w:p>
        </w:tc>
        <w:tc>
          <w:tcPr>
            <w:tcW w:w="2309" w:type="dxa"/>
            <w:tcBorders>
              <w:tl2br w:val="nil"/>
              <w:tr2bl w:val="nil"/>
            </w:tcBorders>
            <w:noWrap w:val="0"/>
            <w:tcMar>
              <w:top w:w="28" w:type="dxa"/>
              <w:left w:w="28" w:type="dxa"/>
              <w:bottom w:w="28" w:type="dxa"/>
              <w:right w:w="28" w:type="dxa"/>
            </w:tcMar>
            <w:vAlign w:val="center"/>
          </w:tcPr>
          <w:p w14:paraId="2BCCB2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口岸所在地县级人民政府，自治区商务厅、交通运输厅，广西出入境边防检查总站，广西海事局，广西北部湾投资集团，广西北部湾国际港务集团，广西机场管理集团，中国铁路南宁局集团有限公司</w:t>
            </w:r>
          </w:p>
        </w:tc>
      </w:tr>
      <w:tr w14:paraId="5C55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52419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81</w:t>
            </w:r>
          </w:p>
        </w:tc>
        <w:tc>
          <w:tcPr>
            <w:tcW w:w="988" w:type="dxa"/>
            <w:vMerge w:val="continue"/>
            <w:tcBorders>
              <w:tl2br w:val="nil"/>
              <w:tr2bl w:val="nil"/>
            </w:tcBorders>
            <w:noWrap w:val="0"/>
            <w:tcMar>
              <w:top w:w="28" w:type="dxa"/>
              <w:left w:w="28" w:type="dxa"/>
              <w:bottom w:w="28" w:type="dxa"/>
              <w:right w:w="28" w:type="dxa"/>
            </w:tcMar>
            <w:vAlign w:val="center"/>
          </w:tcPr>
          <w:p w14:paraId="130848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94B13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降低企业物流运输成本</w:t>
            </w:r>
          </w:p>
        </w:tc>
        <w:tc>
          <w:tcPr>
            <w:tcW w:w="4992" w:type="dxa"/>
            <w:tcBorders>
              <w:tl2br w:val="nil"/>
              <w:tr2bl w:val="nil"/>
            </w:tcBorders>
            <w:noWrap w:val="0"/>
            <w:tcMar>
              <w:top w:w="28" w:type="dxa"/>
              <w:left w:w="28" w:type="dxa"/>
              <w:bottom w:w="28" w:type="dxa"/>
              <w:right w:w="28" w:type="dxa"/>
            </w:tcMar>
            <w:vAlign w:val="center"/>
          </w:tcPr>
          <w:p w14:paraId="51ADB9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铁路、港口、机场等交通基础设施建设，进一步优化货物运输结构，合理有序推进大宗商品等中长距离运输“公转铁”、“公转水”，推动物流提质增效降本。提升以多式联运为主的交通物流融合发展水平，建立共享运力池，实现运营效率的最大化。</w:t>
            </w:r>
          </w:p>
        </w:tc>
        <w:tc>
          <w:tcPr>
            <w:tcW w:w="2251" w:type="dxa"/>
            <w:tcBorders>
              <w:tl2br w:val="nil"/>
              <w:tr2bl w:val="nil"/>
            </w:tcBorders>
            <w:noWrap w:val="0"/>
            <w:tcMar>
              <w:top w:w="28" w:type="dxa"/>
              <w:left w:w="28" w:type="dxa"/>
              <w:bottom w:w="28" w:type="dxa"/>
              <w:right w:w="28" w:type="dxa"/>
            </w:tcMar>
            <w:vAlign w:val="center"/>
          </w:tcPr>
          <w:p w14:paraId="5F6D0E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自治区园区办，中国铁路南宁局集团有限公司，广西北部湾国际港务集团</w:t>
            </w:r>
          </w:p>
        </w:tc>
        <w:tc>
          <w:tcPr>
            <w:tcW w:w="2309" w:type="dxa"/>
            <w:tcBorders>
              <w:tl2br w:val="nil"/>
              <w:tr2bl w:val="nil"/>
            </w:tcBorders>
            <w:noWrap w:val="0"/>
            <w:tcMar>
              <w:top w:w="28" w:type="dxa"/>
              <w:left w:w="28" w:type="dxa"/>
              <w:bottom w:w="28" w:type="dxa"/>
              <w:right w:w="28" w:type="dxa"/>
            </w:tcMar>
            <w:vAlign w:val="center"/>
          </w:tcPr>
          <w:p w14:paraId="322715D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5F25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96571B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82</w:t>
            </w:r>
          </w:p>
        </w:tc>
        <w:tc>
          <w:tcPr>
            <w:tcW w:w="988" w:type="dxa"/>
            <w:vMerge w:val="restart"/>
            <w:tcBorders>
              <w:tl2br w:val="nil"/>
              <w:tr2bl w:val="nil"/>
            </w:tcBorders>
            <w:noWrap w:val="0"/>
            <w:tcMar>
              <w:top w:w="28" w:type="dxa"/>
              <w:left w:w="28" w:type="dxa"/>
              <w:bottom w:w="28" w:type="dxa"/>
              <w:right w:w="28" w:type="dxa"/>
            </w:tcMar>
            <w:vAlign w:val="center"/>
          </w:tcPr>
          <w:p w14:paraId="3D0C961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跨境贸易</w:t>
            </w:r>
          </w:p>
        </w:tc>
        <w:tc>
          <w:tcPr>
            <w:tcW w:w="2038" w:type="dxa"/>
            <w:tcBorders>
              <w:tl2br w:val="nil"/>
              <w:tr2bl w:val="nil"/>
            </w:tcBorders>
            <w:noWrap w:val="0"/>
            <w:tcMar>
              <w:top w:w="28" w:type="dxa"/>
              <w:left w:w="28" w:type="dxa"/>
              <w:bottom w:w="28" w:type="dxa"/>
              <w:right w:w="28" w:type="dxa"/>
            </w:tcMar>
            <w:vAlign w:val="center"/>
          </w:tcPr>
          <w:p w14:paraId="5481B69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降低内外贸集装箱航线费用</w:t>
            </w:r>
          </w:p>
        </w:tc>
        <w:tc>
          <w:tcPr>
            <w:tcW w:w="4992" w:type="dxa"/>
            <w:tcBorders>
              <w:tl2br w:val="nil"/>
              <w:tr2bl w:val="nil"/>
            </w:tcBorders>
            <w:noWrap w:val="0"/>
            <w:tcMar>
              <w:top w:w="28" w:type="dxa"/>
              <w:left w:w="28" w:type="dxa"/>
              <w:bottom w:w="28" w:type="dxa"/>
              <w:right w:w="28" w:type="dxa"/>
            </w:tcMar>
            <w:vAlign w:val="center"/>
          </w:tcPr>
          <w:p w14:paraId="0169699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鼓励引导船公司向北部湾港投入更多航线、运力供给，引导船公司适当降低航线运费。持续推进“一企一策”培育帮促工作，降低集装箱物流费用。</w:t>
            </w:r>
          </w:p>
        </w:tc>
        <w:tc>
          <w:tcPr>
            <w:tcW w:w="2251" w:type="dxa"/>
            <w:tcBorders>
              <w:tl2br w:val="nil"/>
              <w:tr2bl w:val="nil"/>
            </w:tcBorders>
            <w:noWrap w:val="0"/>
            <w:tcMar>
              <w:top w:w="28" w:type="dxa"/>
              <w:left w:w="28" w:type="dxa"/>
              <w:bottom w:w="28" w:type="dxa"/>
              <w:right w:w="28" w:type="dxa"/>
            </w:tcMar>
            <w:vAlign w:val="center"/>
          </w:tcPr>
          <w:p w14:paraId="66124AD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自治区园区办、发展改革委，广西北部湾国际港务集团，广西中远海</w:t>
            </w:r>
            <w:r>
              <w:rPr>
                <w:rFonts w:hint="eastAsia" w:ascii="Times New Roman" w:hAnsi="Times New Roman" w:eastAsia="方正书宋_GBK" w:cs="方正书宋_GBK"/>
                <w:i w:val="0"/>
                <w:snapToGrid w:val="0"/>
                <w:color w:val="auto"/>
                <w:spacing w:val="-6"/>
                <w:kern w:val="21"/>
                <w:sz w:val="22"/>
                <w:szCs w:val="22"/>
                <w:u w:val="none"/>
                <w:lang w:val="en-US" w:eastAsia="zh-CN" w:bidi="ar"/>
              </w:rPr>
              <w:t>运集装箱运输有限公司</w:t>
            </w:r>
          </w:p>
        </w:tc>
        <w:tc>
          <w:tcPr>
            <w:tcW w:w="2309" w:type="dxa"/>
            <w:tcBorders>
              <w:tl2br w:val="nil"/>
              <w:tr2bl w:val="nil"/>
            </w:tcBorders>
            <w:noWrap w:val="0"/>
            <w:tcMar>
              <w:top w:w="28" w:type="dxa"/>
              <w:left w:w="28" w:type="dxa"/>
              <w:bottom w:w="28" w:type="dxa"/>
              <w:right w:w="28" w:type="dxa"/>
            </w:tcMar>
            <w:vAlign w:val="center"/>
          </w:tcPr>
          <w:p w14:paraId="2C710561">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北海、钦州、防城港市人民政府</w:t>
            </w:r>
          </w:p>
        </w:tc>
      </w:tr>
      <w:tr w14:paraId="0963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1E9201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83</w:t>
            </w:r>
          </w:p>
        </w:tc>
        <w:tc>
          <w:tcPr>
            <w:tcW w:w="988" w:type="dxa"/>
            <w:vMerge w:val="continue"/>
            <w:tcBorders>
              <w:tl2br w:val="nil"/>
              <w:tr2bl w:val="nil"/>
            </w:tcBorders>
            <w:noWrap w:val="0"/>
            <w:tcMar>
              <w:top w:w="28" w:type="dxa"/>
              <w:left w:w="28" w:type="dxa"/>
              <w:bottom w:w="28" w:type="dxa"/>
              <w:right w:w="28" w:type="dxa"/>
            </w:tcMar>
            <w:vAlign w:val="center"/>
          </w:tcPr>
          <w:p w14:paraId="42B29EC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1FB3506">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加快口岸基础设施建设</w:t>
            </w:r>
          </w:p>
        </w:tc>
        <w:tc>
          <w:tcPr>
            <w:tcW w:w="4992" w:type="dxa"/>
            <w:tcBorders>
              <w:tl2br w:val="nil"/>
              <w:tr2bl w:val="nil"/>
            </w:tcBorders>
            <w:noWrap w:val="0"/>
            <w:tcMar>
              <w:top w:w="28" w:type="dxa"/>
              <w:left w:w="28" w:type="dxa"/>
              <w:bottom w:w="28" w:type="dxa"/>
              <w:right w:w="28" w:type="dxa"/>
            </w:tcMar>
            <w:vAlign w:val="center"/>
          </w:tcPr>
          <w:p w14:paraId="53D8BF0D">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加快口岸道路、接驳场、物流园等基础设施建设，提升口岸承载能力。</w:t>
            </w:r>
          </w:p>
        </w:tc>
        <w:tc>
          <w:tcPr>
            <w:tcW w:w="2251" w:type="dxa"/>
            <w:tcBorders>
              <w:tl2br w:val="nil"/>
              <w:tr2bl w:val="nil"/>
            </w:tcBorders>
            <w:noWrap w:val="0"/>
            <w:tcMar>
              <w:top w:w="28" w:type="dxa"/>
              <w:left w:w="28" w:type="dxa"/>
              <w:bottom w:w="28" w:type="dxa"/>
              <w:right w:w="28" w:type="dxa"/>
            </w:tcMar>
            <w:vAlign w:val="center"/>
          </w:tcPr>
          <w:p w14:paraId="5FE3115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相关市、县人民政府</w:t>
            </w:r>
          </w:p>
        </w:tc>
        <w:tc>
          <w:tcPr>
            <w:tcW w:w="2309" w:type="dxa"/>
            <w:tcBorders>
              <w:tl2br w:val="nil"/>
              <w:tr2bl w:val="nil"/>
            </w:tcBorders>
            <w:noWrap w:val="0"/>
            <w:tcMar>
              <w:top w:w="28" w:type="dxa"/>
              <w:left w:w="28" w:type="dxa"/>
              <w:bottom w:w="28" w:type="dxa"/>
              <w:right w:w="28" w:type="dxa"/>
            </w:tcMar>
            <w:vAlign w:val="center"/>
          </w:tcPr>
          <w:p w14:paraId="52637AD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自治区财政厅、发展改革委、商务厅、交通运输厅</w:t>
            </w:r>
          </w:p>
        </w:tc>
      </w:tr>
      <w:tr w14:paraId="29A9F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D3765F1">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84</w:t>
            </w:r>
          </w:p>
        </w:tc>
        <w:tc>
          <w:tcPr>
            <w:tcW w:w="988" w:type="dxa"/>
            <w:vMerge w:val="continue"/>
            <w:tcBorders>
              <w:tl2br w:val="nil"/>
              <w:tr2bl w:val="nil"/>
            </w:tcBorders>
            <w:noWrap w:val="0"/>
            <w:tcMar>
              <w:top w:w="28" w:type="dxa"/>
              <w:left w:w="28" w:type="dxa"/>
              <w:bottom w:w="28" w:type="dxa"/>
              <w:right w:w="28" w:type="dxa"/>
            </w:tcMar>
            <w:vAlign w:val="center"/>
          </w:tcPr>
          <w:p w14:paraId="3B17642A">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CECA1B2">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增强外贸实力</w:t>
            </w:r>
          </w:p>
        </w:tc>
        <w:tc>
          <w:tcPr>
            <w:tcW w:w="4992" w:type="dxa"/>
            <w:tcBorders>
              <w:tl2br w:val="nil"/>
              <w:tr2bl w:val="nil"/>
            </w:tcBorders>
            <w:noWrap w:val="0"/>
            <w:tcMar>
              <w:top w:w="28" w:type="dxa"/>
              <w:left w:w="28" w:type="dxa"/>
              <w:bottom w:w="28" w:type="dxa"/>
              <w:right w:w="28" w:type="dxa"/>
            </w:tcMar>
            <w:vAlign w:val="center"/>
          </w:tcPr>
          <w:p w14:paraId="1492052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外贸企业数量比上年增长不低于5%。</w:t>
            </w:r>
          </w:p>
        </w:tc>
        <w:tc>
          <w:tcPr>
            <w:tcW w:w="2251" w:type="dxa"/>
            <w:tcBorders>
              <w:tl2br w:val="nil"/>
              <w:tr2bl w:val="nil"/>
            </w:tcBorders>
            <w:noWrap w:val="0"/>
            <w:tcMar>
              <w:top w:w="28" w:type="dxa"/>
              <w:left w:w="28" w:type="dxa"/>
              <w:bottom w:w="28" w:type="dxa"/>
              <w:right w:w="28" w:type="dxa"/>
            </w:tcMar>
            <w:vAlign w:val="center"/>
          </w:tcPr>
          <w:p w14:paraId="628AB68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1A911ABE">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2A9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E3B0CF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85</w:t>
            </w:r>
          </w:p>
        </w:tc>
        <w:tc>
          <w:tcPr>
            <w:tcW w:w="988" w:type="dxa"/>
            <w:vMerge w:val="continue"/>
            <w:tcBorders>
              <w:tl2br w:val="nil"/>
              <w:tr2bl w:val="nil"/>
            </w:tcBorders>
            <w:noWrap w:val="0"/>
            <w:tcMar>
              <w:top w:w="28" w:type="dxa"/>
              <w:left w:w="28" w:type="dxa"/>
              <w:bottom w:w="28" w:type="dxa"/>
              <w:right w:w="28" w:type="dxa"/>
            </w:tcMar>
            <w:vAlign w:val="center"/>
          </w:tcPr>
          <w:p w14:paraId="655D308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0AC2562">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开设海外仓企业备案“绿色通道”</w:t>
            </w:r>
          </w:p>
        </w:tc>
        <w:tc>
          <w:tcPr>
            <w:tcW w:w="4992" w:type="dxa"/>
            <w:tcBorders>
              <w:tl2br w:val="nil"/>
              <w:tr2bl w:val="nil"/>
            </w:tcBorders>
            <w:noWrap w:val="0"/>
            <w:tcMar>
              <w:top w:w="28" w:type="dxa"/>
              <w:left w:w="28" w:type="dxa"/>
              <w:bottom w:w="28" w:type="dxa"/>
              <w:right w:w="28" w:type="dxa"/>
            </w:tcMar>
            <w:vAlign w:val="center"/>
          </w:tcPr>
          <w:p w14:paraId="44D4BF7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设置跨境电商海外仓企业备案“绿色通道”，实现海外仓企业备案无纸化，精准服务海外仓业务发展。</w:t>
            </w:r>
          </w:p>
        </w:tc>
        <w:tc>
          <w:tcPr>
            <w:tcW w:w="2251" w:type="dxa"/>
            <w:tcBorders>
              <w:tl2br w:val="nil"/>
              <w:tr2bl w:val="nil"/>
            </w:tcBorders>
            <w:noWrap w:val="0"/>
            <w:tcMar>
              <w:top w:w="28" w:type="dxa"/>
              <w:left w:w="28" w:type="dxa"/>
              <w:bottom w:w="28" w:type="dxa"/>
              <w:right w:w="28" w:type="dxa"/>
            </w:tcMar>
            <w:vAlign w:val="center"/>
          </w:tcPr>
          <w:p w14:paraId="12988692">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6ED44E34">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077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541C82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86</w:t>
            </w:r>
          </w:p>
        </w:tc>
        <w:tc>
          <w:tcPr>
            <w:tcW w:w="988" w:type="dxa"/>
            <w:vMerge w:val="restart"/>
            <w:tcBorders>
              <w:tl2br w:val="nil"/>
              <w:tr2bl w:val="nil"/>
            </w:tcBorders>
            <w:noWrap w:val="0"/>
            <w:tcMar>
              <w:top w:w="28" w:type="dxa"/>
              <w:left w:w="28" w:type="dxa"/>
              <w:bottom w:w="28" w:type="dxa"/>
              <w:right w:w="28" w:type="dxa"/>
            </w:tcMar>
            <w:vAlign w:val="center"/>
          </w:tcPr>
          <w:p w14:paraId="77DCFEC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对外开放</w:t>
            </w:r>
          </w:p>
        </w:tc>
        <w:tc>
          <w:tcPr>
            <w:tcW w:w="2038" w:type="dxa"/>
            <w:tcBorders>
              <w:tl2br w:val="nil"/>
              <w:tr2bl w:val="nil"/>
            </w:tcBorders>
            <w:noWrap w:val="0"/>
            <w:tcMar>
              <w:top w:w="28" w:type="dxa"/>
              <w:left w:w="28" w:type="dxa"/>
              <w:bottom w:w="28" w:type="dxa"/>
              <w:right w:w="28" w:type="dxa"/>
            </w:tcMar>
            <w:vAlign w:val="center"/>
          </w:tcPr>
          <w:p w14:paraId="2046AC0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提升外商投资服务水平</w:t>
            </w:r>
          </w:p>
        </w:tc>
        <w:tc>
          <w:tcPr>
            <w:tcW w:w="4992" w:type="dxa"/>
            <w:tcBorders>
              <w:tl2br w:val="nil"/>
              <w:tr2bl w:val="nil"/>
            </w:tcBorders>
            <w:noWrap w:val="0"/>
            <w:tcMar>
              <w:top w:w="28" w:type="dxa"/>
              <w:left w:w="28" w:type="dxa"/>
              <w:bottom w:w="28" w:type="dxa"/>
              <w:right w:w="28" w:type="dxa"/>
            </w:tcMar>
            <w:vAlign w:val="center"/>
          </w:tcPr>
          <w:p w14:paraId="255E97C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实施外商投资准入前国民待遇加负面清单管理制度，落实《区域全面经济伙伴关系协定》（RCEP）关于制造业、农业等领域高水平投资负面清单承诺。对外资企业高频事项实行“一站式”服务，定期编制和公布外商投资指南。健全外商投资促进激励机制和外商投资企业投诉工作机制，保障外资企业合法权益。</w:t>
            </w:r>
          </w:p>
        </w:tc>
        <w:tc>
          <w:tcPr>
            <w:tcW w:w="2251" w:type="dxa"/>
            <w:tcBorders>
              <w:tl2br w:val="nil"/>
              <w:tr2bl w:val="nil"/>
            </w:tcBorders>
            <w:noWrap w:val="0"/>
            <w:tcMar>
              <w:top w:w="28" w:type="dxa"/>
              <w:left w:w="28" w:type="dxa"/>
              <w:bottom w:w="28" w:type="dxa"/>
              <w:right w:w="28" w:type="dxa"/>
            </w:tcMar>
            <w:vAlign w:val="center"/>
          </w:tcPr>
          <w:p w14:paraId="56C6574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1AA921A2">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E3B5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BBFE76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87</w:t>
            </w:r>
          </w:p>
        </w:tc>
        <w:tc>
          <w:tcPr>
            <w:tcW w:w="988" w:type="dxa"/>
            <w:vMerge w:val="continue"/>
            <w:tcBorders>
              <w:tl2br w:val="nil"/>
              <w:tr2bl w:val="nil"/>
            </w:tcBorders>
            <w:noWrap w:val="0"/>
            <w:tcMar>
              <w:top w:w="28" w:type="dxa"/>
              <w:left w:w="28" w:type="dxa"/>
              <w:bottom w:w="28" w:type="dxa"/>
              <w:right w:w="28" w:type="dxa"/>
            </w:tcMar>
            <w:vAlign w:val="center"/>
          </w:tcPr>
          <w:p w14:paraId="6FADE764">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EC7E064">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加强对外交流</w:t>
            </w:r>
          </w:p>
        </w:tc>
        <w:tc>
          <w:tcPr>
            <w:tcW w:w="4992" w:type="dxa"/>
            <w:tcBorders>
              <w:tl2br w:val="nil"/>
              <w:tr2bl w:val="nil"/>
            </w:tcBorders>
            <w:noWrap w:val="0"/>
            <w:tcMar>
              <w:top w:w="28" w:type="dxa"/>
              <w:left w:w="28" w:type="dxa"/>
              <w:bottom w:w="28" w:type="dxa"/>
              <w:right w:w="28" w:type="dxa"/>
            </w:tcMar>
            <w:vAlign w:val="center"/>
          </w:tcPr>
          <w:p w14:paraId="21D3041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深入实施“千企开拓”外贸强基础工程，积极组织</w:t>
            </w:r>
            <w:r>
              <w:rPr>
                <w:rFonts w:hint="eastAsia" w:ascii="Times New Roman" w:hAnsi="Times New Roman" w:eastAsia="方正书宋_GBK" w:cs="方正书宋_GBK"/>
                <w:i w:val="0"/>
                <w:snapToGrid w:val="0"/>
                <w:color w:val="auto"/>
                <w:spacing w:val="-6"/>
                <w:kern w:val="21"/>
                <w:sz w:val="22"/>
                <w:szCs w:val="22"/>
                <w:u w:val="none"/>
                <w:lang w:val="en-US" w:eastAsia="zh-CN" w:bidi="ar"/>
              </w:rPr>
              <w:t>企业参加中国进出口商品交易会、华东进出口商品交</w:t>
            </w:r>
            <w:r>
              <w:rPr>
                <w:rFonts w:hint="eastAsia" w:ascii="Times New Roman" w:hAnsi="Times New Roman" w:eastAsia="方正书宋_GBK" w:cs="方正书宋_GBK"/>
                <w:i w:val="0"/>
                <w:snapToGrid w:val="0"/>
                <w:color w:val="auto"/>
                <w:spacing w:val="0"/>
                <w:kern w:val="21"/>
                <w:sz w:val="22"/>
                <w:szCs w:val="22"/>
                <w:u w:val="none"/>
                <w:lang w:val="en-US" w:eastAsia="zh-CN" w:bidi="ar"/>
              </w:rPr>
              <w:t>易会等涉外重点国际展会，扩大我区优质产品出口。</w:t>
            </w:r>
          </w:p>
        </w:tc>
        <w:tc>
          <w:tcPr>
            <w:tcW w:w="2251" w:type="dxa"/>
            <w:tcBorders>
              <w:tl2br w:val="nil"/>
              <w:tr2bl w:val="nil"/>
            </w:tcBorders>
            <w:noWrap w:val="0"/>
            <w:tcMar>
              <w:top w:w="28" w:type="dxa"/>
              <w:left w:w="28" w:type="dxa"/>
              <w:bottom w:w="28" w:type="dxa"/>
              <w:right w:w="28" w:type="dxa"/>
            </w:tcMar>
            <w:vAlign w:val="center"/>
          </w:tcPr>
          <w:p w14:paraId="16B1C5F7">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345C55BE">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874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43EE73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88</w:t>
            </w:r>
          </w:p>
        </w:tc>
        <w:tc>
          <w:tcPr>
            <w:tcW w:w="988" w:type="dxa"/>
            <w:vMerge w:val="continue"/>
            <w:tcBorders>
              <w:tl2br w:val="nil"/>
              <w:tr2bl w:val="nil"/>
            </w:tcBorders>
            <w:noWrap w:val="0"/>
            <w:tcMar>
              <w:top w:w="28" w:type="dxa"/>
              <w:left w:w="28" w:type="dxa"/>
              <w:bottom w:w="28" w:type="dxa"/>
              <w:right w:w="28" w:type="dxa"/>
            </w:tcMar>
            <w:vAlign w:val="center"/>
          </w:tcPr>
          <w:p w14:paraId="6B09AB2E">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EB9B07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推广亚太经济合作组织（APEC）商务旅行卡</w:t>
            </w:r>
          </w:p>
        </w:tc>
        <w:tc>
          <w:tcPr>
            <w:tcW w:w="4992" w:type="dxa"/>
            <w:tcBorders>
              <w:tl2br w:val="nil"/>
              <w:tr2bl w:val="nil"/>
            </w:tcBorders>
            <w:noWrap w:val="0"/>
            <w:tcMar>
              <w:top w:w="28" w:type="dxa"/>
              <w:left w:w="28" w:type="dxa"/>
              <w:bottom w:w="28" w:type="dxa"/>
              <w:right w:w="28" w:type="dxa"/>
            </w:tcMar>
            <w:vAlign w:val="center"/>
          </w:tcPr>
          <w:p w14:paraId="2CF9375D">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推广APEC商务旅行卡，实现东盟10国免签5年，提升外贸企业进出境便利度。</w:t>
            </w:r>
          </w:p>
        </w:tc>
        <w:tc>
          <w:tcPr>
            <w:tcW w:w="2251" w:type="dxa"/>
            <w:tcBorders>
              <w:tl2br w:val="nil"/>
              <w:tr2bl w:val="nil"/>
            </w:tcBorders>
            <w:noWrap w:val="0"/>
            <w:tcMar>
              <w:top w:w="28" w:type="dxa"/>
              <w:left w:w="28" w:type="dxa"/>
              <w:bottom w:w="28" w:type="dxa"/>
              <w:right w:w="28" w:type="dxa"/>
            </w:tcMar>
            <w:vAlign w:val="center"/>
          </w:tcPr>
          <w:p w14:paraId="0BDADE0F">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自治区外事办</w:t>
            </w:r>
          </w:p>
        </w:tc>
        <w:tc>
          <w:tcPr>
            <w:tcW w:w="2309" w:type="dxa"/>
            <w:tcBorders>
              <w:tl2br w:val="nil"/>
              <w:tr2bl w:val="nil"/>
            </w:tcBorders>
            <w:noWrap w:val="0"/>
            <w:tcMar>
              <w:top w:w="28" w:type="dxa"/>
              <w:left w:w="28" w:type="dxa"/>
              <w:bottom w:w="28" w:type="dxa"/>
              <w:right w:w="28" w:type="dxa"/>
            </w:tcMar>
            <w:vAlign w:val="center"/>
          </w:tcPr>
          <w:p w14:paraId="1B2A39F5">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r>
      <w:tr w14:paraId="5C0A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D63F0E0">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89</w:t>
            </w:r>
          </w:p>
        </w:tc>
        <w:tc>
          <w:tcPr>
            <w:tcW w:w="988" w:type="dxa"/>
            <w:vMerge w:val="continue"/>
            <w:tcBorders>
              <w:tl2br w:val="nil"/>
              <w:tr2bl w:val="nil"/>
            </w:tcBorders>
            <w:noWrap w:val="0"/>
            <w:tcMar>
              <w:top w:w="28" w:type="dxa"/>
              <w:left w:w="28" w:type="dxa"/>
              <w:bottom w:w="28" w:type="dxa"/>
              <w:right w:w="28" w:type="dxa"/>
            </w:tcMar>
            <w:vAlign w:val="center"/>
          </w:tcPr>
          <w:p w14:paraId="399FAE7B">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8A9AE8C">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利用外资</w:t>
            </w:r>
          </w:p>
        </w:tc>
        <w:tc>
          <w:tcPr>
            <w:tcW w:w="4992" w:type="dxa"/>
            <w:tcBorders>
              <w:tl2br w:val="nil"/>
              <w:tr2bl w:val="nil"/>
            </w:tcBorders>
            <w:noWrap w:val="0"/>
            <w:tcMar>
              <w:top w:w="28" w:type="dxa"/>
              <w:left w:w="28" w:type="dxa"/>
              <w:bottom w:w="28" w:type="dxa"/>
              <w:right w:w="28" w:type="dxa"/>
            </w:tcMar>
            <w:vAlign w:val="center"/>
          </w:tcPr>
          <w:p w14:paraId="4C550558">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新增1亿元专项资金，加大对制造业、新能源、新材料等我区重点发展行业使用外资支持力度。</w:t>
            </w:r>
          </w:p>
        </w:tc>
        <w:tc>
          <w:tcPr>
            <w:tcW w:w="2251" w:type="dxa"/>
            <w:tcBorders>
              <w:tl2br w:val="nil"/>
              <w:tr2bl w:val="nil"/>
            </w:tcBorders>
            <w:noWrap w:val="0"/>
            <w:tcMar>
              <w:top w:w="28" w:type="dxa"/>
              <w:left w:w="28" w:type="dxa"/>
              <w:bottom w:w="28" w:type="dxa"/>
              <w:right w:w="28" w:type="dxa"/>
            </w:tcMar>
            <w:vAlign w:val="center"/>
          </w:tcPr>
          <w:p w14:paraId="3B51E0EA">
            <w:pPr>
              <w:keepNext w:val="0"/>
              <w:keepLines w:val="0"/>
              <w:pageBreakBefore w:val="0"/>
              <w:widowControl w:val="0"/>
              <w:suppressLineNumbers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5E285BE0">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BA5C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BB4644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90</w:t>
            </w:r>
          </w:p>
        </w:tc>
        <w:tc>
          <w:tcPr>
            <w:tcW w:w="988" w:type="dxa"/>
            <w:vMerge w:val="restart"/>
            <w:tcBorders>
              <w:tl2br w:val="nil"/>
              <w:tr2bl w:val="nil"/>
            </w:tcBorders>
            <w:noWrap w:val="0"/>
            <w:tcMar>
              <w:top w:w="28" w:type="dxa"/>
              <w:left w:w="28" w:type="dxa"/>
              <w:bottom w:w="28" w:type="dxa"/>
              <w:right w:w="28" w:type="dxa"/>
            </w:tcMar>
            <w:vAlign w:val="center"/>
          </w:tcPr>
          <w:p w14:paraId="10FF804E">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对外开放</w:t>
            </w:r>
          </w:p>
        </w:tc>
        <w:tc>
          <w:tcPr>
            <w:tcW w:w="2038" w:type="dxa"/>
            <w:tcBorders>
              <w:tl2br w:val="nil"/>
              <w:tr2bl w:val="nil"/>
            </w:tcBorders>
            <w:noWrap w:val="0"/>
            <w:tcMar>
              <w:top w:w="28" w:type="dxa"/>
              <w:left w:w="28" w:type="dxa"/>
              <w:bottom w:w="28" w:type="dxa"/>
              <w:right w:w="28" w:type="dxa"/>
            </w:tcMar>
            <w:vAlign w:val="center"/>
          </w:tcPr>
          <w:p w14:paraId="624A8BF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扩大制度型开放</w:t>
            </w:r>
          </w:p>
        </w:tc>
        <w:tc>
          <w:tcPr>
            <w:tcW w:w="4992" w:type="dxa"/>
            <w:tcBorders>
              <w:tl2br w:val="nil"/>
              <w:tr2bl w:val="nil"/>
            </w:tcBorders>
            <w:noWrap w:val="0"/>
            <w:tcMar>
              <w:top w:w="28" w:type="dxa"/>
              <w:left w:w="28" w:type="dxa"/>
              <w:bottom w:w="28" w:type="dxa"/>
              <w:right w:w="28" w:type="dxa"/>
            </w:tcMar>
            <w:vAlign w:val="center"/>
          </w:tcPr>
          <w:p w14:paraId="4DAED512">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发挥东盟国家标准化合作交流中心作用，与东盟国家开展贸易、投资、产业的标准化合作，探索成立新能源汽车等区域标准化组织，建设技术性贸易措施信息平台，帮助企业应对和规避国外技术性贸易壁垒。</w:t>
            </w:r>
          </w:p>
        </w:tc>
        <w:tc>
          <w:tcPr>
            <w:tcW w:w="2251" w:type="dxa"/>
            <w:tcBorders>
              <w:tl2br w:val="nil"/>
              <w:tr2bl w:val="nil"/>
            </w:tcBorders>
            <w:noWrap w:val="0"/>
            <w:tcMar>
              <w:top w:w="28" w:type="dxa"/>
              <w:left w:w="28" w:type="dxa"/>
              <w:bottom w:w="28" w:type="dxa"/>
              <w:right w:w="28" w:type="dxa"/>
            </w:tcMar>
            <w:vAlign w:val="center"/>
          </w:tcPr>
          <w:p w14:paraId="15FB2B02">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06457CAC">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B6F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D213C7E">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91</w:t>
            </w:r>
          </w:p>
        </w:tc>
        <w:tc>
          <w:tcPr>
            <w:tcW w:w="988" w:type="dxa"/>
            <w:vMerge w:val="continue"/>
            <w:tcBorders>
              <w:tl2br w:val="nil"/>
              <w:tr2bl w:val="nil"/>
            </w:tcBorders>
            <w:noWrap w:val="0"/>
            <w:tcMar>
              <w:top w:w="28" w:type="dxa"/>
              <w:left w:w="28" w:type="dxa"/>
              <w:bottom w:w="28" w:type="dxa"/>
              <w:right w:w="28" w:type="dxa"/>
            </w:tcMar>
            <w:vAlign w:val="center"/>
          </w:tcPr>
          <w:p w14:paraId="02B4AEB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BE76705">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开展标准共建互认</w:t>
            </w:r>
          </w:p>
        </w:tc>
        <w:tc>
          <w:tcPr>
            <w:tcW w:w="4992" w:type="dxa"/>
            <w:tcBorders>
              <w:tl2br w:val="nil"/>
              <w:tr2bl w:val="nil"/>
            </w:tcBorders>
            <w:noWrap w:val="0"/>
            <w:tcMar>
              <w:top w:w="28" w:type="dxa"/>
              <w:left w:w="28" w:type="dxa"/>
              <w:bottom w:w="28" w:type="dxa"/>
              <w:right w:w="28" w:type="dxa"/>
            </w:tcMar>
            <w:vAlign w:val="center"/>
          </w:tcPr>
          <w:p w14:paraId="24D7A311">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探索与东盟、RCEP其他成员国开展合格评定结果互认，推动实现“一次检验、全球通行”。</w:t>
            </w:r>
          </w:p>
        </w:tc>
        <w:tc>
          <w:tcPr>
            <w:tcW w:w="2251" w:type="dxa"/>
            <w:tcBorders>
              <w:tl2br w:val="nil"/>
              <w:tr2bl w:val="nil"/>
            </w:tcBorders>
            <w:noWrap w:val="0"/>
            <w:tcMar>
              <w:top w:w="28" w:type="dxa"/>
              <w:left w:w="28" w:type="dxa"/>
              <w:bottom w:w="28" w:type="dxa"/>
              <w:right w:w="28" w:type="dxa"/>
            </w:tcMar>
            <w:vAlign w:val="center"/>
          </w:tcPr>
          <w:p w14:paraId="070BD54C">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2BD6A094">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2C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36B1B2D">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92</w:t>
            </w:r>
          </w:p>
        </w:tc>
        <w:tc>
          <w:tcPr>
            <w:tcW w:w="988" w:type="dxa"/>
            <w:vMerge w:val="continue"/>
            <w:tcBorders>
              <w:tl2br w:val="nil"/>
              <w:tr2bl w:val="nil"/>
            </w:tcBorders>
            <w:noWrap w:val="0"/>
            <w:tcMar>
              <w:top w:w="28" w:type="dxa"/>
              <w:left w:w="28" w:type="dxa"/>
              <w:bottom w:w="28" w:type="dxa"/>
              <w:right w:w="28" w:type="dxa"/>
            </w:tcMar>
            <w:vAlign w:val="center"/>
          </w:tcPr>
          <w:p w14:paraId="272C6B6E">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DE99445">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优化外籍专业技术技能人员停居留政策</w:t>
            </w:r>
          </w:p>
        </w:tc>
        <w:tc>
          <w:tcPr>
            <w:tcW w:w="4992" w:type="dxa"/>
            <w:tcBorders>
              <w:tl2br w:val="nil"/>
              <w:tr2bl w:val="nil"/>
            </w:tcBorders>
            <w:noWrap w:val="0"/>
            <w:tcMar>
              <w:top w:w="28" w:type="dxa"/>
              <w:left w:w="28" w:type="dxa"/>
              <w:bottom w:w="28" w:type="dxa"/>
              <w:right w:w="28" w:type="dxa"/>
            </w:tcMar>
            <w:vAlign w:val="center"/>
          </w:tcPr>
          <w:p w14:paraId="5E8D7166">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外籍人员申办签证证件时，对于通过信息共享可查询到本人住宿登记记录、企业营业执照等信息的，可免予查验相关纸质证明材料。在华外籍人员办理亲属短期探亲团聚类签证的，可以邀请人亲属关系声明替代亲属关系证明。</w:t>
            </w:r>
          </w:p>
        </w:tc>
        <w:tc>
          <w:tcPr>
            <w:tcW w:w="2251" w:type="dxa"/>
            <w:tcBorders>
              <w:tl2br w:val="nil"/>
              <w:tr2bl w:val="nil"/>
            </w:tcBorders>
            <w:noWrap w:val="0"/>
            <w:tcMar>
              <w:top w:w="28" w:type="dxa"/>
              <w:left w:w="28" w:type="dxa"/>
              <w:bottom w:w="28" w:type="dxa"/>
              <w:right w:w="28" w:type="dxa"/>
            </w:tcMar>
            <w:vAlign w:val="center"/>
          </w:tcPr>
          <w:p w14:paraId="36D6A09A">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47C224CD">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广西出入境边防检查</w:t>
            </w:r>
          </w:p>
          <w:p w14:paraId="03C0DCB1">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总站</w:t>
            </w:r>
          </w:p>
        </w:tc>
      </w:tr>
      <w:tr w14:paraId="71DBC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258CA0B">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93</w:t>
            </w:r>
          </w:p>
        </w:tc>
        <w:tc>
          <w:tcPr>
            <w:tcW w:w="988" w:type="dxa"/>
            <w:vMerge w:val="continue"/>
            <w:tcBorders>
              <w:tl2br w:val="nil"/>
              <w:tr2bl w:val="nil"/>
            </w:tcBorders>
            <w:noWrap w:val="0"/>
            <w:tcMar>
              <w:top w:w="28" w:type="dxa"/>
              <w:left w:w="28" w:type="dxa"/>
              <w:bottom w:w="28" w:type="dxa"/>
              <w:right w:w="28" w:type="dxa"/>
            </w:tcMar>
            <w:vAlign w:val="center"/>
          </w:tcPr>
          <w:p w14:paraId="61BF1053">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D05EA95">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支持外籍人才交流</w:t>
            </w:r>
          </w:p>
        </w:tc>
        <w:tc>
          <w:tcPr>
            <w:tcW w:w="4992" w:type="dxa"/>
            <w:tcBorders>
              <w:tl2br w:val="nil"/>
              <w:tr2bl w:val="nil"/>
            </w:tcBorders>
            <w:noWrap w:val="0"/>
            <w:tcMar>
              <w:top w:w="28" w:type="dxa"/>
              <w:left w:w="28" w:type="dxa"/>
              <w:bottom w:w="28" w:type="dxa"/>
              <w:right w:w="28" w:type="dxa"/>
            </w:tcMar>
            <w:vAlign w:val="center"/>
          </w:tcPr>
          <w:p w14:paraId="77AFC1D6">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急需来华从事商贸合作、访问交流、投资创业、探望亲属及处理私人事务等非外交、公务活动的外籍人员，来不及在境外办妥签证的，可凭邀请函件等相关证明材料向口岸签证机关申办口岸签证入境。在华外籍人员因正当合理事由需多次出入境的，可凭邀请函件等相关证明材料，向公安机关出入境管理机构申请换发多次入境有效签证。</w:t>
            </w:r>
          </w:p>
        </w:tc>
        <w:tc>
          <w:tcPr>
            <w:tcW w:w="2251" w:type="dxa"/>
            <w:tcBorders>
              <w:tl2br w:val="nil"/>
              <w:tr2bl w:val="nil"/>
            </w:tcBorders>
            <w:noWrap w:val="0"/>
            <w:tcMar>
              <w:top w:w="28" w:type="dxa"/>
              <w:left w:w="28" w:type="dxa"/>
              <w:bottom w:w="28" w:type="dxa"/>
              <w:right w:w="28" w:type="dxa"/>
            </w:tcMar>
            <w:vAlign w:val="center"/>
          </w:tcPr>
          <w:p w14:paraId="1C91BB78">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自治区商务厅</w:t>
            </w:r>
          </w:p>
        </w:tc>
        <w:tc>
          <w:tcPr>
            <w:tcW w:w="2309" w:type="dxa"/>
            <w:tcBorders>
              <w:tl2br w:val="nil"/>
              <w:tr2bl w:val="nil"/>
            </w:tcBorders>
            <w:noWrap w:val="0"/>
            <w:tcMar>
              <w:top w:w="28" w:type="dxa"/>
              <w:left w:w="28" w:type="dxa"/>
              <w:bottom w:w="28" w:type="dxa"/>
              <w:right w:w="28" w:type="dxa"/>
            </w:tcMar>
            <w:vAlign w:val="center"/>
          </w:tcPr>
          <w:p w14:paraId="45C199FC">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广西出入境边防检查</w:t>
            </w:r>
          </w:p>
          <w:p w14:paraId="0B3DF5A2">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总站</w:t>
            </w:r>
          </w:p>
        </w:tc>
      </w:tr>
      <w:tr w14:paraId="2AE1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0E769F7">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94</w:t>
            </w:r>
          </w:p>
        </w:tc>
        <w:tc>
          <w:tcPr>
            <w:tcW w:w="988" w:type="dxa"/>
            <w:vMerge w:val="continue"/>
            <w:tcBorders>
              <w:tl2br w:val="nil"/>
              <w:tr2bl w:val="nil"/>
            </w:tcBorders>
            <w:noWrap w:val="0"/>
            <w:tcMar>
              <w:top w:w="28" w:type="dxa"/>
              <w:left w:w="28" w:type="dxa"/>
              <w:bottom w:w="28" w:type="dxa"/>
              <w:right w:w="28" w:type="dxa"/>
            </w:tcMar>
            <w:vAlign w:val="center"/>
          </w:tcPr>
          <w:p w14:paraId="46C93BCD">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F310FE2">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稳妥开展跨境劳务试点</w:t>
            </w:r>
          </w:p>
        </w:tc>
        <w:tc>
          <w:tcPr>
            <w:tcW w:w="4992" w:type="dxa"/>
            <w:tcBorders>
              <w:tl2br w:val="nil"/>
              <w:tr2bl w:val="nil"/>
            </w:tcBorders>
            <w:noWrap w:val="0"/>
            <w:tcMar>
              <w:top w:w="28" w:type="dxa"/>
              <w:left w:w="28" w:type="dxa"/>
              <w:bottom w:w="28" w:type="dxa"/>
              <w:right w:w="28" w:type="dxa"/>
            </w:tcMar>
            <w:vAlign w:val="center"/>
          </w:tcPr>
          <w:p w14:paraId="27DB00C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贯彻落实国家支持沿边重点地区开发开放若干政策措施，开展跨境劳务试点工作，组织东兴、凭祥市与毗邻的越南边境省就跨境劳务合作事项开展洽谈，签署跨境劳务合作协议，积极探索创新边境地区跨境劳务合作机制，规范出入境和停居留管理，充分利用境外劳动力资源，推动边境地区高质量发展，为在我区其他沿边地区推广开展跨境劳务合作积累经验。</w:t>
            </w:r>
          </w:p>
        </w:tc>
        <w:tc>
          <w:tcPr>
            <w:tcW w:w="2251" w:type="dxa"/>
            <w:tcBorders>
              <w:tl2br w:val="nil"/>
              <w:tr2bl w:val="nil"/>
            </w:tcBorders>
            <w:noWrap w:val="0"/>
            <w:tcMar>
              <w:top w:w="28" w:type="dxa"/>
              <w:left w:w="28" w:type="dxa"/>
              <w:bottom w:w="28" w:type="dxa"/>
              <w:right w:w="28" w:type="dxa"/>
            </w:tcMar>
            <w:vAlign w:val="center"/>
          </w:tcPr>
          <w:p w14:paraId="1F3DD1EF">
            <w:pPr>
              <w:keepNext w:val="0"/>
              <w:keepLines w:val="0"/>
              <w:pageBreakBefore w:val="0"/>
              <w:widowControl w:val="0"/>
              <w:suppressLineNumbers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自治区人力资源社会保障厅，防城港、崇左市人民政府</w:t>
            </w:r>
          </w:p>
        </w:tc>
        <w:tc>
          <w:tcPr>
            <w:tcW w:w="2309" w:type="dxa"/>
            <w:tcBorders>
              <w:tl2br w:val="nil"/>
              <w:tr2bl w:val="nil"/>
            </w:tcBorders>
            <w:noWrap w:val="0"/>
            <w:tcMar>
              <w:top w:w="28" w:type="dxa"/>
              <w:left w:w="28" w:type="dxa"/>
              <w:bottom w:w="28" w:type="dxa"/>
              <w:right w:w="28" w:type="dxa"/>
            </w:tcMar>
            <w:vAlign w:val="center"/>
          </w:tcPr>
          <w:p w14:paraId="2EB90766">
            <w:pPr>
              <w:keepNext w:val="0"/>
              <w:keepLines w:val="0"/>
              <w:pageBreakBefore w:val="0"/>
              <w:widowControl w:val="0"/>
              <w:kinsoku/>
              <w:wordWrap/>
              <w:overflowPunct/>
              <w:topLinePunct w:val="0"/>
              <w:autoSpaceDE/>
              <w:autoSpaceDN/>
              <w:bidi w:val="0"/>
              <w:adjustRightInd w:val="0"/>
              <w:snapToGrid w:val="0"/>
              <w:spacing w:line="304"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6DF8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518" w:type="dxa"/>
            <w:tcBorders>
              <w:tl2br w:val="nil"/>
              <w:tr2bl w:val="nil"/>
            </w:tcBorders>
            <w:noWrap w:val="0"/>
            <w:tcMar>
              <w:top w:w="28" w:type="dxa"/>
              <w:left w:w="28" w:type="dxa"/>
              <w:bottom w:w="28" w:type="dxa"/>
              <w:right w:w="28" w:type="dxa"/>
            </w:tcMar>
            <w:vAlign w:val="center"/>
          </w:tcPr>
          <w:p w14:paraId="6792FA0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95</w:t>
            </w:r>
          </w:p>
        </w:tc>
        <w:tc>
          <w:tcPr>
            <w:tcW w:w="988" w:type="dxa"/>
            <w:vMerge w:val="restart"/>
            <w:tcBorders>
              <w:tl2br w:val="nil"/>
              <w:tr2bl w:val="nil"/>
            </w:tcBorders>
            <w:noWrap w:val="0"/>
            <w:tcMar>
              <w:top w:w="28" w:type="dxa"/>
              <w:left w:w="28" w:type="dxa"/>
              <w:bottom w:w="28" w:type="dxa"/>
              <w:right w:w="28" w:type="dxa"/>
            </w:tcMar>
            <w:vAlign w:val="center"/>
          </w:tcPr>
          <w:p w14:paraId="694748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纳税</w:t>
            </w:r>
          </w:p>
        </w:tc>
        <w:tc>
          <w:tcPr>
            <w:tcW w:w="2038" w:type="dxa"/>
            <w:tcBorders>
              <w:tl2br w:val="nil"/>
              <w:tr2bl w:val="nil"/>
            </w:tcBorders>
            <w:noWrap w:val="0"/>
            <w:tcMar>
              <w:top w:w="28" w:type="dxa"/>
              <w:left w:w="28" w:type="dxa"/>
              <w:bottom w:w="28" w:type="dxa"/>
              <w:right w:w="28" w:type="dxa"/>
            </w:tcMar>
            <w:vAlign w:val="center"/>
          </w:tcPr>
          <w:p w14:paraId="1F92D5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推进全面数字化的电子发票应用</w:t>
            </w:r>
          </w:p>
        </w:tc>
        <w:tc>
          <w:tcPr>
            <w:tcW w:w="4992" w:type="dxa"/>
            <w:tcBorders>
              <w:tl2br w:val="nil"/>
              <w:tr2bl w:val="nil"/>
            </w:tcBorders>
            <w:noWrap w:val="0"/>
            <w:tcMar>
              <w:top w:w="28" w:type="dxa"/>
              <w:left w:w="28" w:type="dxa"/>
              <w:bottom w:w="28" w:type="dxa"/>
              <w:right w:w="28" w:type="dxa"/>
            </w:tcMar>
            <w:vAlign w:val="center"/>
          </w:tcPr>
          <w:p w14:paraId="35166F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2024年6月30日前，推动全面数字化的电子发票推广覆盖率（可开具全面数字化的电子发票的纳税人占比）达到90%以上，并持续保持。</w:t>
            </w:r>
          </w:p>
        </w:tc>
        <w:tc>
          <w:tcPr>
            <w:tcW w:w="2251" w:type="dxa"/>
            <w:tcBorders>
              <w:tl2br w:val="nil"/>
              <w:tr2bl w:val="nil"/>
            </w:tcBorders>
            <w:noWrap w:val="0"/>
            <w:tcMar>
              <w:top w:w="28" w:type="dxa"/>
              <w:left w:w="28" w:type="dxa"/>
              <w:bottom w:w="28" w:type="dxa"/>
              <w:right w:w="28" w:type="dxa"/>
            </w:tcMar>
            <w:vAlign w:val="center"/>
          </w:tcPr>
          <w:p w14:paraId="5CC438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03A18E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6F9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jc w:val="center"/>
        </w:trPr>
        <w:tc>
          <w:tcPr>
            <w:tcW w:w="518" w:type="dxa"/>
            <w:tcBorders>
              <w:tl2br w:val="nil"/>
              <w:tr2bl w:val="nil"/>
            </w:tcBorders>
            <w:noWrap w:val="0"/>
            <w:tcMar>
              <w:top w:w="28" w:type="dxa"/>
              <w:left w:w="28" w:type="dxa"/>
              <w:bottom w:w="28" w:type="dxa"/>
              <w:right w:w="28" w:type="dxa"/>
            </w:tcMar>
            <w:vAlign w:val="center"/>
          </w:tcPr>
          <w:p w14:paraId="5B3247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96</w:t>
            </w:r>
          </w:p>
        </w:tc>
        <w:tc>
          <w:tcPr>
            <w:tcW w:w="988" w:type="dxa"/>
            <w:vMerge w:val="continue"/>
            <w:tcBorders>
              <w:tl2br w:val="nil"/>
              <w:tr2bl w:val="nil"/>
            </w:tcBorders>
            <w:noWrap w:val="0"/>
            <w:tcMar>
              <w:top w:w="28" w:type="dxa"/>
              <w:left w:w="28" w:type="dxa"/>
              <w:bottom w:w="28" w:type="dxa"/>
              <w:right w:w="28" w:type="dxa"/>
            </w:tcMar>
            <w:vAlign w:val="center"/>
          </w:tcPr>
          <w:p w14:paraId="5BF7FD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5EE122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提升税收政策的清晰度和透明度</w:t>
            </w:r>
          </w:p>
        </w:tc>
        <w:tc>
          <w:tcPr>
            <w:tcW w:w="4992" w:type="dxa"/>
            <w:tcBorders>
              <w:tl2br w:val="nil"/>
              <w:tr2bl w:val="nil"/>
            </w:tcBorders>
            <w:noWrap w:val="0"/>
            <w:tcMar>
              <w:top w:w="28" w:type="dxa"/>
              <w:left w:w="28" w:type="dxa"/>
              <w:bottom w:w="28" w:type="dxa"/>
              <w:right w:w="28" w:type="dxa"/>
            </w:tcMar>
            <w:vAlign w:val="center"/>
          </w:tcPr>
          <w:p w14:paraId="739DF8C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作税收政策、系统操作、热点问题等宣传产品和纳税人缴费人办事指南，通过税务网站、微信公众号等渠道进行广泛宣传。运用“征纳互动”服务和电子税务局更具针对性地向纳税人缴费人推送适用的税费优惠政策，实现系统集成、精准定位、智能推送。</w:t>
            </w:r>
          </w:p>
        </w:tc>
        <w:tc>
          <w:tcPr>
            <w:tcW w:w="2251" w:type="dxa"/>
            <w:tcBorders>
              <w:tl2br w:val="nil"/>
              <w:tr2bl w:val="nil"/>
            </w:tcBorders>
            <w:noWrap w:val="0"/>
            <w:tcMar>
              <w:top w:w="28" w:type="dxa"/>
              <w:left w:w="28" w:type="dxa"/>
              <w:bottom w:w="28" w:type="dxa"/>
              <w:right w:w="28" w:type="dxa"/>
            </w:tcMar>
            <w:vAlign w:val="center"/>
          </w:tcPr>
          <w:p w14:paraId="15A5E5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732B212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B44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518" w:type="dxa"/>
            <w:tcBorders>
              <w:tl2br w:val="nil"/>
              <w:tr2bl w:val="nil"/>
            </w:tcBorders>
            <w:noWrap w:val="0"/>
            <w:tcMar>
              <w:top w:w="28" w:type="dxa"/>
              <w:left w:w="28" w:type="dxa"/>
              <w:bottom w:w="28" w:type="dxa"/>
              <w:right w:w="28" w:type="dxa"/>
            </w:tcMar>
            <w:vAlign w:val="center"/>
          </w:tcPr>
          <w:p w14:paraId="288812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97</w:t>
            </w:r>
          </w:p>
        </w:tc>
        <w:tc>
          <w:tcPr>
            <w:tcW w:w="988" w:type="dxa"/>
            <w:vMerge w:val="continue"/>
            <w:tcBorders>
              <w:tl2br w:val="nil"/>
              <w:tr2bl w:val="nil"/>
            </w:tcBorders>
            <w:noWrap w:val="0"/>
            <w:tcMar>
              <w:top w:w="28" w:type="dxa"/>
              <w:left w:w="28" w:type="dxa"/>
              <w:bottom w:w="28" w:type="dxa"/>
              <w:right w:w="28" w:type="dxa"/>
            </w:tcMar>
            <w:vAlign w:val="center"/>
          </w:tcPr>
          <w:p w14:paraId="7A3101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277323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5D6E2B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研究制定税收事先裁定工作办法（试行），规范开展大企业税收事先裁定工作。</w:t>
            </w:r>
          </w:p>
        </w:tc>
        <w:tc>
          <w:tcPr>
            <w:tcW w:w="2251" w:type="dxa"/>
            <w:tcBorders>
              <w:tl2br w:val="nil"/>
              <w:tr2bl w:val="nil"/>
            </w:tcBorders>
            <w:noWrap w:val="0"/>
            <w:tcMar>
              <w:top w:w="28" w:type="dxa"/>
              <w:left w:w="28" w:type="dxa"/>
              <w:bottom w:w="28" w:type="dxa"/>
              <w:right w:w="28" w:type="dxa"/>
            </w:tcMar>
            <w:vAlign w:val="center"/>
          </w:tcPr>
          <w:p w14:paraId="3F29DD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2E9C95C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570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518" w:type="dxa"/>
            <w:tcBorders>
              <w:tl2br w:val="nil"/>
              <w:tr2bl w:val="nil"/>
            </w:tcBorders>
            <w:noWrap w:val="0"/>
            <w:tcMar>
              <w:top w:w="28" w:type="dxa"/>
              <w:left w:w="28" w:type="dxa"/>
              <w:bottom w:w="28" w:type="dxa"/>
              <w:right w:w="28" w:type="dxa"/>
            </w:tcMar>
            <w:vAlign w:val="center"/>
          </w:tcPr>
          <w:p w14:paraId="2126716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98</w:t>
            </w:r>
          </w:p>
        </w:tc>
        <w:tc>
          <w:tcPr>
            <w:tcW w:w="988" w:type="dxa"/>
            <w:vMerge w:val="continue"/>
            <w:tcBorders>
              <w:tl2br w:val="nil"/>
              <w:tr2bl w:val="nil"/>
            </w:tcBorders>
            <w:noWrap w:val="0"/>
            <w:tcMar>
              <w:top w:w="28" w:type="dxa"/>
              <w:left w:w="28" w:type="dxa"/>
              <w:bottom w:w="28" w:type="dxa"/>
              <w:right w:w="28" w:type="dxa"/>
            </w:tcMar>
            <w:vAlign w:val="center"/>
          </w:tcPr>
          <w:p w14:paraId="118736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004CCE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447D8D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持续加强对提高资源利用效率、推动绿色低碳发展、改善环境质量等方面绿色税费政策的宣传，帮助纳税人缴费人依法依规享受绿色税费优惠政策。</w:t>
            </w:r>
          </w:p>
        </w:tc>
        <w:tc>
          <w:tcPr>
            <w:tcW w:w="2251" w:type="dxa"/>
            <w:tcBorders>
              <w:tl2br w:val="nil"/>
              <w:tr2bl w:val="nil"/>
            </w:tcBorders>
            <w:noWrap w:val="0"/>
            <w:tcMar>
              <w:top w:w="28" w:type="dxa"/>
              <w:left w:w="28" w:type="dxa"/>
              <w:bottom w:w="28" w:type="dxa"/>
              <w:right w:w="28" w:type="dxa"/>
            </w:tcMar>
            <w:vAlign w:val="center"/>
          </w:tcPr>
          <w:p w14:paraId="4B4EA5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26C3B5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883C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012530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99</w:t>
            </w:r>
          </w:p>
        </w:tc>
        <w:tc>
          <w:tcPr>
            <w:tcW w:w="988" w:type="dxa"/>
            <w:vMerge w:val="continue"/>
            <w:tcBorders>
              <w:tl2br w:val="nil"/>
              <w:tr2bl w:val="nil"/>
            </w:tcBorders>
            <w:noWrap w:val="0"/>
            <w:tcMar>
              <w:top w:w="28" w:type="dxa"/>
              <w:left w:w="28" w:type="dxa"/>
              <w:bottom w:w="28" w:type="dxa"/>
              <w:right w:w="28" w:type="dxa"/>
            </w:tcMar>
            <w:vAlign w:val="center"/>
          </w:tcPr>
          <w:p w14:paraId="22331B2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6EE733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提升税费征管数字化和智能化水平</w:t>
            </w:r>
          </w:p>
        </w:tc>
        <w:tc>
          <w:tcPr>
            <w:tcW w:w="4992" w:type="dxa"/>
            <w:tcBorders>
              <w:tl2br w:val="nil"/>
              <w:tr2bl w:val="nil"/>
            </w:tcBorders>
            <w:noWrap w:val="0"/>
            <w:tcMar>
              <w:top w:w="28" w:type="dxa"/>
              <w:left w:w="28" w:type="dxa"/>
              <w:bottom w:w="28" w:type="dxa"/>
              <w:right w:w="28" w:type="dxa"/>
            </w:tcMar>
            <w:vAlign w:val="center"/>
          </w:tcPr>
          <w:p w14:paraId="61263E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按照税务总局工作部署，进一步扩大全面数字化的电子发票（以下简称数电票）的试点范围，持续加强数电票推行扩围，稳妥有序提升数电票开票率。</w:t>
            </w:r>
          </w:p>
        </w:tc>
        <w:tc>
          <w:tcPr>
            <w:tcW w:w="2251" w:type="dxa"/>
            <w:tcBorders>
              <w:tl2br w:val="nil"/>
              <w:tr2bl w:val="nil"/>
            </w:tcBorders>
            <w:noWrap w:val="0"/>
            <w:tcMar>
              <w:top w:w="28" w:type="dxa"/>
              <w:left w:w="28" w:type="dxa"/>
              <w:bottom w:w="28" w:type="dxa"/>
              <w:right w:w="28" w:type="dxa"/>
            </w:tcMar>
            <w:vAlign w:val="center"/>
          </w:tcPr>
          <w:p w14:paraId="30AE2C0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1DD0479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广西数字化电子发票领导小组其他成员单位</w:t>
            </w:r>
          </w:p>
        </w:tc>
      </w:tr>
      <w:tr w14:paraId="1711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518" w:type="dxa"/>
            <w:tcBorders>
              <w:tl2br w:val="nil"/>
              <w:tr2bl w:val="nil"/>
            </w:tcBorders>
            <w:noWrap w:val="0"/>
            <w:tcMar>
              <w:top w:w="28" w:type="dxa"/>
              <w:left w:w="28" w:type="dxa"/>
              <w:bottom w:w="28" w:type="dxa"/>
              <w:right w:w="28" w:type="dxa"/>
            </w:tcMar>
            <w:vAlign w:val="center"/>
          </w:tcPr>
          <w:p w14:paraId="472647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100</w:t>
            </w:r>
          </w:p>
        </w:tc>
        <w:tc>
          <w:tcPr>
            <w:tcW w:w="988" w:type="dxa"/>
            <w:vMerge w:val="continue"/>
            <w:tcBorders>
              <w:tl2br w:val="nil"/>
              <w:tr2bl w:val="nil"/>
            </w:tcBorders>
            <w:noWrap w:val="0"/>
            <w:tcMar>
              <w:top w:w="28" w:type="dxa"/>
              <w:left w:w="28" w:type="dxa"/>
              <w:bottom w:w="28" w:type="dxa"/>
              <w:right w:w="28" w:type="dxa"/>
            </w:tcMar>
            <w:vAlign w:val="center"/>
          </w:tcPr>
          <w:p w14:paraId="7F91B6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44A9A8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37BDE4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推广全国统一规范的电子税务局，优化拓展税费申报类业务自动提取数据、自动计算税额、自动预填申报、纳税人确认提交功能，提升纳税人办税体验。</w:t>
            </w:r>
          </w:p>
        </w:tc>
        <w:tc>
          <w:tcPr>
            <w:tcW w:w="2251" w:type="dxa"/>
            <w:tcBorders>
              <w:tl2br w:val="nil"/>
              <w:tr2bl w:val="nil"/>
            </w:tcBorders>
            <w:noWrap w:val="0"/>
            <w:tcMar>
              <w:top w:w="28" w:type="dxa"/>
              <w:left w:w="28" w:type="dxa"/>
              <w:bottom w:w="28" w:type="dxa"/>
              <w:right w:w="28" w:type="dxa"/>
            </w:tcMar>
            <w:vAlign w:val="center"/>
          </w:tcPr>
          <w:p w14:paraId="1728707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201B111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751F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08EFC2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101</w:t>
            </w:r>
          </w:p>
        </w:tc>
        <w:tc>
          <w:tcPr>
            <w:tcW w:w="988" w:type="dxa"/>
            <w:vMerge w:val="continue"/>
            <w:tcBorders>
              <w:tl2br w:val="nil"/>
              <w:tr2bl w:val="nil"/>
            </w:tcBorders>
            <w:noWrap w:val="0"/>
            <w:tcMar>
              <w:top w:w="28" w:type="dxa"/>
              <w:left w:w="28" w:type="dxa"/>
              <w:bottom w:w="28" w:type="dxa"/>
              <w:right w:w="28" w:type="dxa"/>
            </w:tcMar>
            <w:vAlign w:val="center"/>
          </w:tcPr>
          <w:p w14:paraId="6BC9F1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6DC34C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0DF34B5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规范企业社保费自主申报流程，优化系统衔接，提供社保费、医保费合并缴纳方式供企业自行选择，推行申报免填单和佐证资料留存备查。</w:t>
            </w:r>
          </w:p>
        </w:tc>
        <w:tc>
          <w:tcPr>
            <w:tcW w:w="2251" w:type="dxa"/>
            <w:tcBorders>
              <w:tl2br w:val="nil"/>
              <w:tr2bl w:val="nil"/>
            </w:tcBorders>
            <w:noWrap w:val="0"/>
            <w:tcMar>
              <w:top w:w="28" w:type="dxa"/>
              <w:left w:w="28" w:type="dxa"/>
              <w:bottom w:w="28" w:type="dxa"/>
              <w:right w:w="28" w:type="dxa"/>
            </w:tcMar>
            <w:vAlign w:val="center"/>
          </w:tcPr>
          <w:p w14:paraId="1AFF10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27D9AFA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56D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9CB1AE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102</w:t>
            </w:r>
          </w:p>
        </w:tc>
        <w:tc>
          <w:tcPr>
            <w:tcW w:w="988" w:type="dxa"/>
            <w:vMerge w:val="restart"/>
            <w:tcBorders>
              <w:tl2br w:val="nil"/>
              <w:tr2bl w:val="nil"/>
            </w:tcBorders>
            <w:noWrap w:val="0"/>
            <w:tcMar>
              <w:top w:w="28" w:type="dxa"/>
              <w:left w:w="28" w:type="dxa"/>
              <w:bottom w:w="28" w:type="dxa"/>
              <w:right w:w="28" w:type="dxa"/>
            </w:tcMar>
            <w:vAlign w:val="center"/>
          </w:tcPr>
          <w:p w14:paraId="26260A2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纳税</w:t>
            </w:r>
          </w:p>
        </w:tc>
        <w:tc>
          <w:tcPr>
            <w:tcW w:w="2038" w:type="dxa"/>
            <w:vMerge w:val="restart"/>
            <w:tcBorders>
              <w:tl2br w:val="nil"/>
              <w:tr2bl w:val="nil"/>
            </w:tcBorders>
            <w:noWrap w:val="0"/>
            <w:tcMar>
              <w:top w:w="28" w:type="dxa"/>
              <w:left w:w="28" w:type="dxa"/>
              <w:bottom w:w="28" w:type="dxa"/>
              <w:right w:w="28" w:type="dxa"/>
            </w:tcMar>
            <w:vAlign w:val="center"/>
          </w:tcPr>
          <w:p w14:paraId="7241609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提升税收执法规范性和精准性</w:t>
            </w:r>
          </w:p>
        </w:tc>
        <w:tc>
          <w:tcPr>
            <w:tcW w:w="4992" w:type="dxa"/>
            <w:tcBorders>
              <w:tl2br w:val="nil"/>
              <w:tr2bl w:val="nil"/>
            </w:tcBorders>
            <w:noWrap w:val="0"/>
            <w:tcMar>
              <w:top w:w="28" w:type="dxa"/>
              <w:left w:w="28" w:type="dxa"/>
              <w:bottom w:w="28" w:type="dxa"/>
              <w:right w:w="28" w:type="dxa"/>
            </w:tcMar>
            <w:vAlign w:val="center"/>
          </w:tcPr>
          <w:p w14:paraId="5D923F8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执行《中南区域税务行政处罚裁量基准》，进一步规范涵盖申报、发票、登记、账证、征收、检查等类别的税务行政处罚裁量权，加强区域执法协同。</w:t>
            </w:r>
          </w:p>
        </w:tc>
        <w:tc>
          <w:tcPr>
            <w:tcW w:w="2251" w:type="dxa"/>
            <w:tcBorders>
              <w:tl2br w:val="nil"/>
              <w:tr2bl w:val="nil"/>
            </w:tcBorders>
            <w:noWrap w:val="0"/>
            <w:tcMar>
              <w:top w:w="28" w:type="dxa"/>
              <w:left w:w="28" w:type="dxa"/>
              <w:bottom w:w="28" w:type="dxa"/>
              <w:right w:w="28" w:type="dxa"/>
            </w:tcMar>
            <w:vAlign w:val="center"/>
          </w:tcPr>
          <w:p w14:paraId="27E009D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6C320E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3C5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36C17A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103</w:t>
            </w:r>
          </w:p>
        </w:tc>
        <w:tc>
          <w:tcPr>
            <w:tcW w:w="988" w:type="dxa"/>
            <w:vMerge w:val="continue"/>
            <w:tcBorders>
              <w:tl2br w:val="nil"/>
              <w:tr2bl w:val="nil"/>
            </w:tcBorders>
            <w:noWrap w:val="0"/>
            <w:tcMar>
              <w:top w:w="28" w:type="dxa"/>
              <w:left w:w="28" w:type="dxa"/>
              <w:bottom w:w="28" w:type="dxa"/>
              <w:right w:w="28" w:type="dxa"/>
            </w:tcMar>
            <w:vAlign w:val="center"/>
          </w:tcPr>
          <w:p w14:paraId="2D93526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1F62B8B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526175C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推广“云核查”线上执法，推动执法核查业务逐步从实地核查变为远程核查，在提高效率、减少打扰的同时，实现执法过程规范化、标准化。</w:t>
            </w:r>
          </w:p>
        </w:tc>
        <w:tc>
          <w:tcPr>
            <w:tcW w:w="2251" w:type="dxa"/>
            <w:tcBorders>
              <w:tl2br w:val="nil"/>
              <w:tr2bl w:val="nil"/>
            </w:tcBorders>
            <w:noWrap w:val="0"/>
            <w:tcMar>
              <w:top w:w="28" w:type="dxa"/>
              <w:left w:w="28" w:type="dxa"/>
              <w:bottom w:w="28" w:type="dxa"/>
              <w:right w:w="28" w:type="dxa"/>
            </w:tcMar>
            <w:vAlign w:val="center"/>
          </w:tcPr>
          <w:p w14:paraId="56DB5261">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7E473C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0C1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376015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104</w:t>
            </w:r>
          </w:p>
        </w:tc>
        <w:tc>
          <w:tcPr>
            <w:tcW w:w="988" w:type="dxa"/>
            <w:vMerge w:val="continue"/>
            <w:tcBorders>
              <w:tl2br w:val="nil"/>
              <w:tr2bl w:val="nil"/>
            </w:tcBorders>
            <w:noWrap w:val="0"/>
            <w:tcMar>
              <w:top w:w="28" w:type="dxa"/>
              <w:left w:w="28" w:type="dxa"/>
              <w:bottom w:w="28" w:type="dxa"/>
              <w:right w:w="28" w:type="dxa"/>
            </w:tcMar>
            <w:vAlign w:val="center"/>
          </w:tcPr>
          <w:p w14:paraId="194803E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9EE1D8C">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提升税费诉求响应效率</w:t>
            </w:r>
          </w:p>
        </w:tc>
        <w:tc>
          <w:tcPr>
            <w:tcW w:w="4992" w:type="dxa"/>
            <w:tcBorders>
              <w:tl2br w:val="nil"/>
              <w:tr2bl w:val="nil"/>
            </w:tcBorders>
            <w:noWrap w:val="0"/>
            <w:tcMar>
              <w:top w:w="28" w:type="dxa"/>
              <w:left w:w="28" w:type="dxa"/>
              <w:bottom w:w="28" w:type="dxa"/>
              <w:right w:w="28" w:type="dxa"/>
            </w:tcMar>
            <w:vAlign w:val="center"/>
          </w:tcPr>
          <w:p w14:paraId="2519AC7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健全税费服务诉求解决机制，为纳税人缴费人提供智能交互、办问协同、全程互动的线上“征纳互动”服务，全区平均人工互动成功率达到90%以上。</w:t>
            </w:r>
          </w:p>
        </w:tc>
        <w:tc>
          <w:tcPr>
            <w:tcW w:w="2251" w:type="dxa"/>
            <w:tcBorders>
              <w:tl2br w:val="nil"/>
              <w:tr2bl w:val="nil"/>
            </w:tcBorders>
            <w:noWrap w:val="0"/>
            <w:tcMar>
              <w:top w:w="28" w:type="dxa"/>
              <w:left w:w="28" w:type="dxa"/>
              <w:bottom w:w="28" w:type="dxa"/>
              <w:right w:w="28" w:type="dxa"/>
            </w:tcMar>
            <w:vAlign w:val="center"/>
          </w:tcPr>
          <w:p w14:paraId="28BBA46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59BB68D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D81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946EE4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105</w:t>
            </w:r>
          </w:p>
        </w:tc>
        <w:tc>
          <w:tcPr>
            <w:tcW w:w="988" w:type="dxa"/>
            <w:vMerge w:val="continue"/>
            <w:tcBorders>
              <w:tl2br w:val="nil"/>
              <w:tr2bl w:val="nil"/>
            </w:tcBorders>
            <w:noWrap w:val="0"/>
            <w:tcMar>
              <w:top w:w="28" w:type="dxa"/>
              <w:left w:w="28" w:type="dxa"/>
              <w:bottom w:w="28" w:type="dxa"/>
              <w:right w:w="28" w:type="dxa"/>
            </w:tcMar>
            <w:vAlign w:val="center"/>
          </w:tcPr>
          <w:p w14:paraId="534BF14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195F92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提升涉税争议解决便利度</w:t>
            </w:r>
          </w:p>
        </w:tc>
        <w:tc>
          <w:tcPr>
            <w:tcW w:w="4992" w:type="dxa"/>
            <w:tcBorders>
              <w:tl2br w:val="nil"/>
              <w:tr2bl w:val="nil"/>
            </w:tcBorders>
            <w:noWrap w:val="0"/>
            <w:tcMar>
              <w:top w:w="28" w:type="dxa"/>
              <w:left w:w="28" w:type="dxa"/>
              <w:bottom w:w="28" w:type="dxa"/>
              <w:right w:w="28" w:type="dxa"/>
            </w:tcMar>
            <w:vAlign w:val="center"/>
          </w:tcPr>
          <w:p w14:paraId="6D4E36E8">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开展新时代“枫桥式”税务所（分局、办税服务厅）建设，依法及时就地解决涉税争议，切实保护纳税人缴费人的合法权益。探索社保缴费争议“一站式”化解新路径，拓展社保费缴费争议联合调处机制试点，以点带面推广缴费争议联合处置中心实体化运作，化解缴费争议。</w:t>
            </w:r>
          </w:p>
        </w:tc>
        <w:tc>
          <w:tcPr>
            <w:tcW w:w="2251" w:type="dxa"/>
            <w:tcBorders>
              <w:tl2br w:val="nil"/>
              <w:tr2bl w:val="nil"/>
            </w:tcBorders>
            <w:noWrap w:val="0"/>
            <w:tcMar>
              <w:top w:w="28" w:type="dxa"/>
              <w:left w:w="28" w:type="dxa"/>
              <w:bottom w:w="28" w:type="dxa"/>
              <w:right w:w="28" w:type="dxa"/>
            </w:tcMar>
            <w:vAlign w:val="center"/>
          </w:tcPr>
          <w:p w14:paraId="73F5509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4333E1D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自治区高级法院，自治区检察院，自治区信访局、公安厅、司法厅、人力资源社会保障厅、医保局</w:t>
            </w:r>
          </w:p>
        </w:tc>
      </w:tr>
      <w:tr w14:paraId="7430D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2A2EB2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106</w:t>
            </w:r>
          </w:p>
        </w:tc>
        <w:tc>
          <w:tcPr>
            <w:tcW w:w="988" w:type="dxa"/>
            <w:vMerge w:val="continue"/>
            <w:tcBorders>
              <w:tl2br w:val="nil"/>
              <w:tr2bl w:val="nil"/>
            </w:tcBorders>
            <w:noWrap w:val="0"/>
            <w:tcMar>
              <w:top w:w="28" w:type="dxa"/>
              <w:left w:w="28" w:type="dxa"/>
              <w:bottom w:w="28" w:type="dxa"/>
              <w:right w:w="28" w:type="dxa"/>
            </w:tcMar>
            <w:vAlign w:val="center"/>
          </w:tcPr>
          <w:p w14:paraId="74DE53B7">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8E8F5A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提升增值税留抵退税办理效率</w:t>
            </w:r>
          </w:p>
        </w:tc>
        <w:tc>
          <w:tcPr>
            <w:tcW w:w="4992" w:type="dxa"/>
            <w:tcBorders>
              <w:tl2br w:val="nil"/>
              <w:tr2bl w:val="nil"/>
            </w:tcBorders>
            <w:noWrap w:val="0"/>
            <w:tcMar>
              <w:top w:w="28" w:type="dxa"/>
              <w:left w:w="28" w:type="dxa"/>
              <w:bottom w:w="28" w:type="dxa"/>
              <w:right w:w="28" w:type="dxa"/>
            </w:tcMar>
            <w:vAlign w:val="center"/>
          </w:tcPr>
          <w:p w14:paraId="7618A72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常态化开展留抵退税，定期开展政策宣传辅导，在电子税务局推行留抵退税申请表“自动预填”服务，加强留抵退税办理环节动态监控，提升留抵退税办理效率。</w:t>
            </w:r>
          </w:p>
        </w:tc>
        <w:tc>
          <w:tcPr>
            <w:tcW w:w="2251" w:type="dxa"/>
            <w:tcBorders>
              <w:tl2br w:val="nil"/>
              <w:tr2bl w:val="nil"/>
            </w:tcBorders>
            <w:noWrap w:val="0"/>
            <w:tcMar>
              <w:top w:w="28" w:type="dxa"/>
              <w:left w:w="28" w:type="dxa"/>
              <w:bottom w:w="28" w:type="dxa"/>
              <w:right w:w="28" w:type="dxa"/>
            </w:tcMar>
            <w:vAlign w:val="center"/>
          </w:tcPr>
          <w:p w14:paraId="135B5EE5">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7752985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r>
      <w:tr w14:paraId="3F0A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DAE4040">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107</w:t>
            </w:r>
          </w:p>
        </w:tc>
        <w:tc>
          <w:tcPr>
            <w:tcW w:w="988" w:type="dxa"/>
            <w:vMerge w:val="continue"/>
            <w:tcBorders>
              <w:tl2br w:val="nil"/>
              <w:tr2bl w:val="nil"/>
            </w:tcBorders>
            <w:noWrap w:val="0"/>
            <w:tcMar>
              <w:top w:w="28" w:type="dxa"/>
              <w:left w:w="28" w:type="dxa"/>
              <w:bottom w:w="28" w:type="dxa"/>
              <w:right w:w="28" w:type="dxa"/>
            </w:tcMar>
            <w:vAlign w:val="center"/>
          </w:tcPr>
          <w:p w14:paraId="5F82431F">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AFDE613">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提升涉税信息共享共治水平</w:t>
            </w:r>
          </w:p>
        </w:tc>
        <w:tc>
          <w:tcPr>
            <w:tcW w:w="4992" w:type="dxa"/>
            <w:tcBorders>
              <w:tl2br w:val="nil"/>
              <w:tr2bl w:val="nil"/>
            </w:tcBorders>
            <w:noWrap w:val="0"/>
            <w:tcMar>
              <w:top w:w="28" w:type="dxa"/>
              <w:left w:w="28" w:type="dxa"/>
              <w:bottom w:w="28" w:type="dxa"/>
              <w:right w:w="28" w:type="dxa"/>
            </w:tcMar>
            <w:vAlign w:val="center"/>
          </w:tcPr>
          <w:p w14:paraId="4816A54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健全纳税数据共享机制，提供纳税数据解读服务，助力银行优化授信模型，在风险可控前提下，为企业提供更多信用贷款，2024年力争“银税互动”贷款投放达到1600亿元。</w:t>
            </w:r>
          </w:p>
        </w:tc>
        <w:tc>
          <w:tcPr>
            <w:tcW w:w="2251" w:type="dxa"/>
            <w:tcBorders>
              <w:tl2br w:val="nil"/>
              <w:tr2bl w:val="nil"/>
            </w:tcBorders>
            <w:noWrap w:val="0"/>
            <w:tcMar>
              <w:top w:w="28" w:type="dxa"/>
              <w:left w:w="28" w:type="dxa"/>
              <w:bottom w:w="28" w:type="dxa"/>
              <w:right w:w="28" w:type="dxa"/>
            </w:tcMar>
            <w:vAlign w:val="center"/>
          </w:tcPr>
          <w:p w14:paraId="5F3DE57B">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广西税务局，国家金融监督管理总局广西监管局</w:t>
            </w:r>
          </w:p>
        </w:tc>
        <w:tc>
          <w:tcPr>
            <w:tcW w:w="2309" w:type="dxa"/>
            <w:tcBorders>
              <w:tl2br w:val="nil"/>
              <w:tr2bl w:val="nil"/>
            </w:tcBorders>
            <w:noWrap w:val="0"/>
            <w:tcMar>
              <w:top w:w="28" w:type="dxa"/>
              <w:left w:w="28" w:type="dxa"/>
              <w:bottom w:w="28" w:type="dxa"/>
              <w:right w:w="28" w:type="dxa"/>
            </w:tcMar>
            <w:vAlign w:val="center"/>
          </w:tcPr>
          <w:p w14:paraId="4FA86609">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中国人民银行广西壮族自治区分行、各银行业金融机构</w:t>
            </w:r>
          </w:p>
        </w:tc>
      </w:tr>
      <w:tr w14:paraId="0404F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4C3F0C4">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108</w:t>
            </w:r>
          </w:p>
        </w:tc>
        <w:tc>
          <w:tcPr>
            <w:tcW w:w="988" w:type="dxa"/>
            <w:vMerge w:val="continue"/>
            <w:tcBorders>
              <w:tl2br w:val="nil"/>
              <w:tr2bl w:val="nil"/>
            </w:tcBorders>
            <w:noWrap w:val="0"/>
            <w:tcMar>
              <w:top w:w="28" w:type="dxa"/>
              <w:left w:w="28" w:type="dxa"/>
              <w:bottom w:w="28" w:type="dxa"/>
              <w:right w:w="28" w:type="dxa"/>
            </w:tcMar>
            <w:vAlign w:val="center"/>
          </w:tcPr>
          <w:p w14:paraId="3545D9F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854788D">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降低民营企业税费负担</w:t>
            </w:r>
          </w:p>
        </w:tc>
        <w:tc>
          <w:tcPr>
            <w:tcW w:w="4992" w:type="dxa"/>
            <w:tcBorders>
              <w:tl2br w:val="nil"/>
              <w:tr2bl w:val="nil"/>
            </w:tcBorders>
            <w:noWrap w:val="0"/>
            <w:tcMar>
              <w:top w:w="28" w:type="dxa"/>
              <w:left w:w="28" w:type="dxa"/>
              <w:bottom w:w="28" w:type="dxa"/>
              <w:right w:w="28" w:type="dxa"/>
            </w:tcMar>
            <w:vAlign w:val="center"/>
          </w:tcPr>
          <w:p w14:paraId="289FF95E">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落实落细先进制造业企业增值税加计抵减政策，在电子税务局实现对符合政策条件纳税人自动提示提醒，帮助纳税人应享尽享。执行社保阶段性降费率政策，降低民营企业税费负担。</w:t>
            </w:r>
          </w:p>
        </w:tc>
        <w:tc>
          <w:tcPr>
            <w:tcW w:w="2251" w:type="dxa"/>
            <w:tcBorders>
              <w:tl2br w:val="nil"/>
              <w:tr2bl w:val="nil"/>
            </w:tcBorders>
            <w:noWrap w:val="0"/>
            <w:tcMar>
              <w:top w:w="28" w:type="dxa"/>
              <w:left w:w="28" w:type="dxa"/>
              <w:bottom w:w="28" w:type="dxa"/>
              <w:right w:w="28" w:type="dxa"/>
            </w:tcMar>
            <w:vAlign w:val="center"/>
          </w:tcPr>
          <w:p w14:paraId="5FFC3CDA">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广西税务局，自治区人力资源社会保障厅、医保局</w:t>
            </w:r>
          </w:p>
        </w:tc>
        <w:tc>
          <w:tcPr>
            <w:tcW w:w="2309" w:type="dxa"/>
            <w:tcBorders>
              <w:tl2br w:val="nil"/>
              <w:tr2bl w:val="nil"/>
            </w:tcBorders>
            <w:noWrap w:val="0"/>
            <w:tcMar>
              <w:top w:w="28" w:type="dxa"/>
              <w:left w:w="28" w:type="dxa"/>
              <w:bottom w:w="28" w:type="dxa"/>
              <w:right w:w="28" w:type="dxa"/>
            </w:tcMar>
            <w:vAlign w:val="center"/>
          </w:tcPr>
          <w:p w14:paraId="268F182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A1F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518" w:type="dxa"/>
            <w:tcBorders>
              <w:tl2br w:val="nil"/>
              <w:tr2bl w:val="nil"/>
            </w:tcBorders>
            <w:noWrap w:val="0"/>
            <w:tcMar>
              <w:top w:w="28" w:type="dxa"/>
              <w:left w:w="28" w:type="dxa"/>
              <w:bottom w:w="28" w:type="dxa"/>
              <w:right w:w="28" w:type="dxa"/>
            </w:tcMar>
            <w:vAlign w:val="center"/>
          </w:tcPr>
          <w:p w14:paraId="392E91D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109</w:t>
            </w:r>
          </w:p>
        </w:tc>
        <w:tc>
          <w:tcPr>
            <w:tcW w:w="988" w:type="dxa"/>
            <w:vMerge w:val="restart"/>
            <w:tcBorders>
              <w:tl2br w:val="nil"/>
              <w:tr2bl w:val="nil"/>
            </w:tcBorders>
            <w:noWrap w:val="0"/>
            <w:tcMar>
              <w:top w:w="28" w:type="dxa"/>
              <w:left w:w="28" w:type="dxa"/>
              <w:bottom w:w="28" w:type="dxa"/>
              <w:right w:w="28" w:type="dxa"/>
            </w:tcMar>
            <w:vAlign w:val="center"/>
          </w:tcPr>
          <w:p w14:paraId="03CEEB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执行合同</w:t>
            </w:r>
          </w:p>
        </w:tc>
        <w:tc>
          <w:tcPr>
            <w:tcW w:w="2038" w:type="dxa"/>
            <w:tcBorders>
              <w:tl2br w:val="nil"/>
              <w:tr2bl w:val="nil"/>
            </w:tcBorders>
            <w:noWrap w:val="0"/>
            <w:tcMar>
              <w:top w:w="28" w:type="dxa"/>
              <w:left w:w="28" w:type="dxa"/>
              <w:bottom w:w="28" w:type="dxa"/>
              <w:right w:w="28" w:type="dxa"/>
            </w:tcMar>
            <w:vAlign w:val="center"/>
          </w:tcPr>
          <w:p w14:paraId="1E66CEE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深化涉企公共法律服务体系建设</w:t>
            </w:r>
          </w:p>
        </w:tc>
        <w:tc>
          <w:tcPr>
            <w:tcW w:w="4992" w:type="dxa"/>
            <w:tcBorders>
              <w:tl2br w:val="nil"/>
              <w:tr2bl w:val="nil"/>
            </w:tcBorders>
            <w:noWrap w:val="0"/>
            <w:tcMar>
              <w:top w:w="28" w:type="dxa"/>
              <w:left w:w="28" w:type="dxa"/>
              <w:bottom w:w="28" w:type="dxa"/>
              <w:right w:w="28" w:type="dxa"/>
            </w:tcMar>
            <w:vAlign w:val="center"/>
          </w:tcPr>
          <w:p w14:paraId="70CC724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持续推进“法治体检”和“万所联万会”活动。提高中国（广西）自由贸易试验区南宁、钦州港、崇左片区公共法律服务中心工作运行效率，发挥三个片区联动作用，为企业贸易和投资活动提供便利法律服务。</w:t>
            </w:r>
          </w:p>
        </w:tc>
        <w:tc>
          <w:tcPr>
            <w:tcW w:w="2251" w:type="dxa"/>
            <w:tcBorders>
              <w:tl2br w:val="nil"/>
              <w:tr2bl w:val="nil"/>
            </w:tcBorders>
            <w:noWrap w:val="0"/>
            <w:tcMar>
              <w:top w:w="28" w:type="dxa"/>
              <w:left w:w="28" w:type="dxa"/>
              <w:bottom w:w="28" w:type="dxa"/>
              <w:right w:w="28" w:type="dxa"/>
            </w:tcMar>
            <w:vAlign w:val="center"/>
          </w:tcPr>
          <w:p w14:paraId="29BFB2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c>
          <w:tcPr>
            <w:tcW w:w="2309" w:type="dxa"/>
            <w:tcBorders>
              <w:tl2br w:val="nil"/>
              <w:tr2bl w:val="nil"/>
            </w:tcBorders>
            <w:noWrap w:val="0"/>
            <w:tcMar>
              <w:top w:w="28" w:type="dxa"/>
              <w:left w:w="28" w:type="dxa"/>
              <w:bottom w:w="28" w:type="dxa"/>
              <w:right w:w="28" w:type="dxa"/>
            </w:tcMar>
            <w:vAlign w:val="center"/>
          </w:tcPr>
          <w:p w14:paraId="0A69D7A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DCB0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518" w:type="dxa"/>
            <w:tcBorders>
              <w:tl2br w:val="nil"/>
              <w:tr2bl w:val="nil"/>
            </w:tcBorders>
            <w:noWrap w:val="0"/>
            <w:tcMar>
              <w:top w:w="28" w:type="dxa"/>
              <w:left w:w="28" w:type="dxa"/>
              <w:bottom w:w="28" w:type="dxa"/>
              <w:right w:w="28" w:type="dxa"/>
            </w:tcMar>
            <w:vAlign w:val="center"/>
          </w:tcPr>
          <w:p w14:paraId="07B1FD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110</w:t>
            </w:r>
          </w:p>
        </w:tc>
        <w:tc>
          <w:tcPr>
            <w:tcW w:w="988" w:type="dxa"/>
            <w:vMerge w:val="continue"/>
            <w:tcBorders>
              <w:tl2br w:val="nil"/>
              <w:tr2bl w:val="nil"/>
            </w:tcBorders>
            <w:noWrap w:val="0"/>
            <w:tcMar>
              <w:top w:w="28" w:type="dxa"/>
              <w:left w:w="28" w:type="dxa"/>
              <w:bottom w:w="28" w:type="dxa"/>
              <w:right w:w="28" w:type="dxa"/>
            </w:tcMar>
            <w:vAlign w:val="center"/>
          </w:tcPr>
          <w:p w14:paraId="2FC9981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82717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全区法院“暖企惠企”执行专项行动</w:t>
            </w:r>
          </w:p>
        </w:tc>
        <w:tc>
          <w:tcPr>
            <w:tcW w:w="4992" w:type="dxa"/>
            <w:tcBorders>
              <w:tl2br w:val="nil"/>
              <w:tr2bl w:val="nil"/>
            </w:tcBorders>
            <w:noWrap w:val="0"/>
            <w:tcMar>
              <w:top w:w="28" w:type="dxa"/>
              <w:left w:w="28" w:type="dxa"/>
              <w:bottom w:w="28" w:type="dxa"/>
              <w:right w:w="28" w:type="dxa"/>
            </w:tcMar>
            <w:vAlign w:val="center"/>
          </w:tcPr>
          <w:p w14:paraId="7043999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开展拖欠中小企业账款专项行动，健全解决党政机关、国有企业拖欠账款问题常态化机制，全面核查长期未结的各类涉企业执行案件及已查封但长期未处置的财产，开展专项清理活动，做到应执尽执、应结尽结。</w:t>
            </w:r>
          </w:p>
        </w:tc>
        <w:tc>
          <w:tcPr>
            <w:tcW w:w="2251" w:type="dxa"/>
            <w:tcBorders>
              <w:tl2br w:val="nil"/>
              <w:tr2bl w:val="nil"/>
            </w:tcBorders>
            <w:noWrap w:val="0"/>
            <w:tcMar>
              <w:top w:w="28" w:type="dxa"/>
              <w:left w:w="28" w:type="dxa"/>
              <w:bottom w:w="28" w:type="dxa"/>
              <w:right w:w="28" w:type="dxa"/>
            </w:tcMar>
            <w:vAlign w:val="center"/>
          </w:tcPr>
          <w:p w14:paraId="6C4287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6A0A6DC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A26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5B421D4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111</w:t>
            </w:r>
          </w:p>
        </w:tc>
        <w:tc>
          <w:tcPr>
            <w:tcW w:w="988" w:type="dxa"/>
            <w:vMerge w:val="continue"/>
            <w:tcBorders>
              <w:tl2br w:val="nil"/>
              <w:tr2bl w:val="nil"/>
            </w:tcBorders>
            <w:noWrap w:val="0"/>
            <w:tcMar>
              <w:top w:w="28" w:type="dxa"/>
              <w:left w:w="28" w:type="dxa"/>
              <w:bottom w:w="28" w:type="dxa"/>
              <w:right w:w="28" w:type="dxa"/>
            </w:tcMar>
            <w:vAlign w:val="center"/>
          </w:tcPr>
          <w:p w14:paraId="2111072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0C68565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开展柔性执法</w:t>
            </w:r>
          </w:p>
        </w:tc>
        <w:tc>
          <w:tcPr>
            <w:tcW w:w="4992" w:type="dxa"/>
            <w:tcBorders>
              <w:tl2br w:val="nil"/>
              <w:tr2bl w:val="nil"/>
            </w:tcBorders>
            <w:noWrap w:val="0"/>
            <w:tcMar>
              <w:top w:w="28" w:type="dxa"/>
              <w:left w:w="28" w:type="dxa"/>
              <w:bottom w:w="28" w:type="dxa"/>
              <w:right w:w="28" w:type="dxa"/>
            </w:tcMar>
            <w:vAlign w:val="center"/>
          </w:tcPr>
          <w:p w14:paraId="3CFD5AE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在执行工作中，优先采取对企业生产经营影响最小的强制措施，禁止超标的、超范围、超时限查封扣押冻结涉案财物。</w:t>
            </w:r>
          </w:p>
        </w:tc>
        <w:tc>
          <w:tcPr>
            <w:tcW w:w="2251" w:type="dxa"/>
            <w:tcBorders>
              <w:tl2br w:val="nil"/>
              <w:tr2bl w:val="nil"/>
            </w:tcBorders>
            <w:noWrap w:val="0"/>
            <w:tcMar>
              <w:top w:w="28" w:type="dxa"/>
              <w:left w:w="28" w:type="dxa"/>
              <w:bottom w:w="28" w:type="dxa"/>
              <w:right w:w="28" w:type="dxa"/>
            </w:tcMar>
            <w:vAlign w:val="center"/>
          </w:tcPr>
          <w:p w14:paraId="6986850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35528A6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004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jc w:val="center"/>
        </w:trPr>
        <w:tc>
          <w:tcPr>
            <w:tcW w:w="518" w:type="dxa"/>
            <w:tcBorders>
              <w:tl2br w:val="nil"/>
              <w:tr2bl w:val="nil"/>
            </w:tcBorders>
            <w:noWrap w:val="0"/>
            <w:tcMar>
              <w:top w:w="28" w:type="dxa"/>
              <w:left w:w="28" w:type="dxa"/>
              <w:bottom w:w="28" w:type="dxa"/>
              <w:right w:w="28" w:type="dxa"/>
            </w:tcMar>
            <w:vAlign w:val="center"/>
          </w:tcPr>
          <w:p w14:paraId="4D24765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112</w:t>
            </w:r>
          </w:p>
        </w:tc>
        <w:tc>
          <w:tcPr>
            <w:tcW w:w="988" w:type="dxa"/>
            <w:vMerge w:val="continue"/>
            <w:tcBorders>
              <w:tl2br w:val="nil"/>
              <w:tr2bl w:val="nil"/>
            </w:tcBorders>
            <w:noWrap w:val="0"/>
            <w:tcMar>
              <w:top w:w="28" w:type="dxa"/>
              <w:left w:w="28" w:type="dxa"/>
              <w:bottom w:w="28" w:type="dxa"/>
              <w:right w:w="28" w:type="dxa"/>
            </w:tcMar>
            <w:vAlign w:val="center"/>
          </w:tcPr>
          <w:p w14:paraId="13226B2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626C0F3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244618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诚实守信经营、符合产业政策、具有发展前景但短期出现资金困难的企业，加大执行调解、和解力度，实现债权人、债务人双赢；针对企业涉金融执行案件，探索推进“以物抵债”的法律适用模式，最大限度盘活资产。</w:t>
            </w:r>
          </w:p>
        </w:tc>
        <w:tc>
          <w:tcPr>
            <w:tcW w:w="2251" w:type="dxa"/>
            <w:tcBorders>
              <w:tl2br w:val="nil"/>
              <w:tr2bl w:val="nil"/>
            </w:tcBorders>
            <w:noWrap w:val="0"/>
            <w:tcMar>
              <w:top w:w="28" w:type="dxa"/>
              <w:left w:w="28" w:type="dxa"/>
              <w:bottom w:w="28" w:type="dxa"/>
              <w:right w:w="28" w:type="dxa"/>
            </w:tcMar>
            <w:vAlign w:val="center"/>
          </w:tcPr>
          <w:p w14:paraId="763AD66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16222D6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15F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518" w:type="dxa"/>
            <w:tcBorders>
              <w:tl2br w:val="nil"/>
              <w:tr2bl w:val="nil"/>
            </w:tcBorders>
            <w:noWrap w:val="0"/>
            <w:tcMar>
              <w:top w:w="28" w:type="dxa"/>
              <w:left w:w="28" w:type="dxa"/>
              <w:bottom w:w="28" w:type="dxa"/>
              <w:right w:w="28" w:type="dxa"/>
            </w:tcMar>
            <w:vAlign w:val="center"/>
          </w:tcPr>
          <w:p w14:paraId="606EDAC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113</w:t>
            </w:r>
          </w:p>
        </w:tc>
        <w:tc>
          <w:tcPr>
            <w:tcW w:w="988" w:type="dxa"/>
            <w:vMerge w:val="continue"/>
            <w:tcBorders>
              <w:tl2br w:val="nil"/>
              <w:tr2bl w:val="nil"/>
            </w:tcBorders>
            <w:noWrap w:val="0"/>
            <w:tcMar>
              <w:top w:w="28" w:type="dxa"/>
              <w:left w:w="28" w:type="dxa"/>
              <w:bottom w:w="28" w:type="dxa"/>
              <w:right w:w="28" w:type="dxa"/>
            </w:tcMar>
            <w:vAlign w:val="center"/>
          </w:tcPr>
          <w:p w14:paraId="160BF05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FDB4A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规范涉企案件自由裁量权</w:t>
            </w:r>
          </w:p>
        </w:tc>
        <w:tc>
          <w:tcPr>
            <w:tcW w:w="4992" w:type="dxa"/>
            <w:tcBorders>
              <w:tl2br w:val="nil"/>
              <w:tr2bl w:val="nil"/>
            </w:tcBorders>
            <w:noWrap w:val="0"/>
            <w:tcMar>
              <w:top w:w="28" w:type="dxa"/>
              <w:left w:w="28" w:type="dxa"/>
              <w:bottom w:w="28" w:type="dxa"/>
              <w:right w:w="28" w:type="dxa"/>
            </w:tcMar>
            <w:vAlign w:val="center"/>
          </w:tcPr>
          <w:p w14:paraId="568920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对于拟提交专业法官会议或审判委员会会议讨论的涉企案件，应当进行类案检索，承办法官应当制作专门的类案检索报告，并随案归档备查。</w:t>
            </w:r>
          </w:p>
        </w:tc>
        <w:tc>
          <w:tcPr>
            <w:tcW w:w="2251" w:type="dxa"/>
            <w:tcBorders>
              <w:tl2br w:val="nil"/>
              <w:tr2bl w:val="nil"/>
            </w:tcBorders>
            <w:noWrap w:val="0"/>
            <w:tcMar>
              <w:top w:w="28" w:type="dxa"/>
              <w:left w:w="28" w:type="dxa"/>
              <w:bottom w:w="28" w:type="dxa"/>
              <w:right w:w="28" w:type="dxa"/>
            </w:tcMar>
            <w:vAlign w:val="center"/>
          </w:tcPr>
          <w:p w14:paraId="5B0788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5C01944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FCD8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18" w:type="dxa"/>
            <w:tcBorders>
              <w:tl2br w:val="nil"/>
              <w:tr2bl w:val="nil"/>
            </w:tcBorders>
            <w:noWrap w:val="0"/>
            <w:tcMar>
              <w:top w:w="28" w:type="dxa"/>
              <w:left w:w="28" w:type="dxa"/>
              <w:bottom w:w="28" w:type="dxa"/>
              <w:right w:w="28" w:type="dxa"/>
            </w:tcMar>
            <w:vAlign w:val="center"/>
          </w:tcPr>
          <w:p w14:paraId="74BBE44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114</w:t>
            </w:r>
          </w:p>
        </w:tc>
        <w:tc>
          <w:tcPr>
            <w:tcW w:w="988" w:type="dxa"/>
            <w:vMerge w:val="continue"/>
            <w:tcBorders>
              <w:tl2br w:val="nil"/>
              <w:tr2bl w:val="nil"/>
            </w:tcBorders>
            <w:noWrap w:val="0"/>
            <w:tcMar>
              <w:top w:w="28" w:type="dxa"/>
              <w:left w:w="28" w:type="dxa"/>
              <w:bottom w:w="28" w:type="dxa"/>
              <w:right w:w="28" w:type="dxa"/>
            </w:tcMar>
            <w:vAlign w:val="center"/>
          </w:tcPr>
          <w:p w14:paraId="2CE66E8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951513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建立典型案例发布制度</w:t>
            </w:r>
          </w:p>
        </w:tc>
        <w:tc>
          <w:tcPr>
            <w:tcW w:w="4992" w:type="dxa"/>
            <w:tcBorders>
              <w:tl2br w:val="nil"/>
              <w:tr2bl w:val="nil"/>
            </w:tcBorders>
            <w:noWrap w:val="0"/>
            <w:tcMar>
              <w:top w:w="28" w:type="dxa"/>
              <w:left w:w="28" w:type="dxa"/>
              <w:bottom w:w="28" w:type="dxa"/>
              <w:right w:w="28" w:type="dxa"/>
            </w:tcMar>
            <w:vAlign w:val="center"/>
          </w:tcPr>
          <w:p w14:paraId="4BD5B7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不定期发布涉企典型案例、涉企审判白皮书，通过以案释法，达到“办理一案、规范一片”效果。</w:t>
            </w:r>
          </w:p>
        </w:tc>
        <w:tc>
          <w:tcPr>
            <w:tcW w:w="2251" w:type="dxa"/>
            <w:tcBorders>
              <w:tl2br w:val="nil"/>
              <w:tr2bl w:val="nil"/>
            </w:tcBorders>
            <w:noWrap w:val="0"/>
            <w:tcMar>
              <w:top w:w="28" w:type="dxa"/>
              <w:left w:w="28" w:type="dxa"/>
              <w:bottom w:w="28" w:type="dxa"/>
              <w:right w:w="28" w:type="dxa"/>
            </w:tcMar>
            <w:vAlign w:val="center"/>
          </w:tcPr>
          <w:p w14:paraId="2D466FB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2835A5A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A98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jc w:val="center"/>
        </w:trPr>
        <w:tc>
          <w:tcPr>
            <w:tcW w:w="518" w:type="dxa"/>
            <w:tcBorders>
              <w:tl2br w:val="nil"/>
              <w:tr2bl w:val="nil"/>
            </w:tcBorders>
            <w:noWrap w:val="0"/>
            <w:tcMar>
              <w:top w:w="28" w:type="dxa"/>
              <w:left w:w="28" w:type="dxa"/>
              <w:bottom w:w="28" w:type="dxa"/>
              <w:right w:w="28" w:type="dxa"/>
            </w:tcMar>
            <w:vAlign w:val="center"/>
          </w:tcPr>
          <w:p w14:paraId="268DCC7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115</w:t>
            </w:r>
          </w:p>
        </w:tc>
        <w:tc>
          <w:tcPr>
            <w:tcW w:w="988" w:type="dxa"/>
            <w:vMerge w:val="restart"/>
            <w:tcBorders>
              <w:tl2br w:val="nil"/>
              <w:tr2bl w:val="nil"/>
            </w:tcBorders>
            <w:noWrap w:val="0"/>
            <w:tcMar>
              <w:top w:w="28" w:type="dxa"/>
              <w:left w:w="28" w:type="dxa"/>
              <w:bottom w:w="28" w:type="dxa"/>
              <w:right w:w="28" w:type="dxa"/>
            </w:tcMar>
            <w:vAlign w:val="center"/>
          </w:tcPr>
          <w:p w14:paraId="032583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执行合同</w:t>
            </w:r>
          </w:p>
        </w:tc>
        <w:tc>
          <w:tcPr>
            <w:tcW w:w="2038" w:type="dxa"/>
            <w:tcBorders>
              <w:tl2br w:val="nil"/>
              <w:tr2bl w:val="nil"/>
            </w:tcBorders>
            <w:noWrap w:val="0"/>
            <w:tcMar>
              <w:top w:w="28" w:type="dxa"/>
              <w:left w:w="28" w:type="dxa"/>
              <w:bottom w:w="28" w:type="dxa"/>
              <w:right w:w="28" w:type="dxa"/>
            </w:tcMar>
            <w:vAlign w:val="center"/>
          </w:tcPr>
          <w:p w14:paraId="63E0686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完善网络查控功能</w:t>
            </w:r>
          </w:p>
        </w:tc>
        <w:tc>
          <w:tcPr>
            <w:tcW w:w="4992" w:type="dxa"/>
            <w:tcBorders>
              <w:tl2br w:val="nil"/>
              <w:tr2bl w:val="nil"/>
            </w:tcBorders>
            <w:noWrap w:val="0"/>
            <w:tcMar>
              <w:top w:w="28" w:type="dxa"/>
              <w:left w:w="28" w:type="dxa"/>
              <w:bottom w:w="28" w:type="dxa"/>
              <w:right w:w="28" w:type="dxa"/>
            </w:tcMar>
            <w:vAlign w:val="center"/>
          </w:tcPr>
          <w:p w14:paraId="777738A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行繁简分流和分段集约执行模式，坚持线上线下财产查控结合，需要依法查控财产的，力争做到10日内完成查封、扣押、冻结，异地最长不超过15日，执行案款到账后15日内完成发放工作，提升涉企案件执行质效。</w:t>
            </w:r>
          </w:p>
        </w:tc>
        <w:tc>
          <w:tcPr>
            <w:tcW w:w="2251" w:type="dxa"/>
            <w:tcBorders>
              <w:tl2br w:val="nil"/>
              <w:tr2bl w:val="nil"/>
            </w:tcBorders>
            <w:noWrap w:val="0"/>
            <w:tcMar>
              <w:top w:w="28" w:type="dxa"/>
              <w:left w:w="28" w:type="dxa"/>
              <w:bottom w:w="28" w:type="dxa"/>
              <w:right w:w="28" w:type="dxa"/>
            </w:tcMar>
            <w:vAlign w:val="center"/>
          </w:tcPr>
          <w:p w14:paraId="1D068F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4547088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DCC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518" w:type="dxa"/>
            <w:tcBorders>
              <w:tl2br w:val="nil"/>
              <w:tr2bl w:val="nil"/>
            </w:tcBorders>
            <w:noWrap w:val="0"/>
            <w:tcMar>
              <w:top w:w="28" w:type="dxa"/>
              <w:left w:w="28" w:type="dxa"/>
              <w:bottom w:w="28" w:type="dxa"/>
              <w:right w:w="28" w:type="dxa"/>
            </w:tcMar>
            <w:vAlign w:val="center"/>
          </w:tcPr>
          <w:p w14:paraId="348CD1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116</w:t>
            </w:r>
          </w:p>
        </w:tc>
        <w:tc>
          <w:tcPr>
            <w:tcW w:w="988" w:type="dxa"/>
            <w:vMerge w:val="continue"/>
            <w:tcBorders>
              <w:tl2br w:val="nil"/>
              <w:tr2bl w:val="nil"/>
            </w:tcBorders>
            <w:noWrap w:val="0"/>
            <w:tcMar>
              <w:top w:w="28" w:type="dxa"/>
              <w:left w:w="28" w:type="dxa"/>
              <w:bottom w:w="28" w:type="dxa"/>
              <w:right w:w="28" w:type="dxa"/>
            </w:tcMar>
            <w:vAlign w:val="center"/>
          </w:tcPr>
          <w:p w14:paraId="6F1B499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008E7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推广信用承诺和修复机制</w:t>
            </w:r>
          </w:p>
        </w:tc>
        <w:tc>
          <w:tcPr>
            <w:tcW w:w="4992" w:type="dxa"/>
            <w:tcBorders>
              <w:tl2br w:val="nil"/>
              <w:tr2bl w:val="nil"/>
            </w:tcBorders>
            <w:noWrap w:val="0"/>
            <w:tcMar>
              <w:top w:w="28" w:type="dxa"/>
              <w:left w:w="28" w:type="dxa"/>
              <w:bottom w:w="28" w:type="dxa"/>
              <w:right w:w="28" w:type="dxa"/>
            </w:tcMar>
            <w:vAlign w:val="center"/>
          </w:tcPr>
          <w:p w14:paraId="447910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对符合条件的被执行人积极适用失信预警及信用宽限期制度；对积极履行义务的失信被执行人，及时恢复符合条件经济主体的信用，引导当事人自动履行法律义务的同时，最大限度减少司法活动对生产经营活动的不利影响。</w:t>
            </w:r>
          </w:p>
        </w:tc>
        <w:tc>
          <w:tcPr>
            <w:tcW w:w="2251" w:type="dxa"/>
            <w:tcBorders>
              <w:tl2br w:val="nil"/>
              <w:tr2bl w:val="nil"/>
            </w:tcBorders>
            <w:noWrap w:val="0"/>
            <w:tcMar>
              <w:top w:w="28" w:type="dxa"/>
              <w:left w:w="28" w:type="dxa"/>
              <w:bottom w:w="28" w:type="dxa"/>
              <w:right w:w="28" w:type="dxa"/>
            </w:tcMar>
            <w:vAlign w:val="center"/>
          </w:tcPr>
          <w:p w14:paraId="7986CA3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11628E2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00FD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518" w:type="dxa"/>
            <w:tcBorders>
              <w:tl2br w:val="nil"/>
              <w:tr2bl w:val="nil"/>
            </w:tcBorders>
            <w:noWrap w:val="0"/>
            <w:tcMar>
              <w:top w:w="28" w:type="dxa"/>
              <w:left w:w="28" w:type="dxa"/>
              <w:bottom w:w="28" w:type="dxa"/>
              <w:right w:w="28" w:type="dxa"/>
            </w:tcMar>
            <w:vAlign w:val="center"/>
          </w:tcPr>
          <w:p w14:paraId="5B56798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117</w:t>
            </w:r>
          </w:p>
        </w:tc>
        <w:tc>
          <w:tcPr>
            <w:tcW w:w="988" w:type="dxa"/>
            <w:vMerge w:val="continue"/>
            <w:tcBorders>
              <w:tl2br w:val="nil"/>
              <w:tr2bl w:val="nil"/>
            </w:tcBorders>
            <w:noWrap w:val="0"/>
            <w:tcMar>
              <w:top w:w="28" w:type="dxa"/>
              <w:left w:w="28" w:type="dxa"/>
              <w:bottom w:w="28" w:type="dxa"/>
              <w:right w:w="28" w:type="dxa"/>
            </w:tcMar>
            <w:vAlign w:val="center"/>
          </w:tcPr>
          <w:p w14:paraId="379074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167579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加强诉前调解</w:t>
            </w:r>
          </w:p>
        </w:tc>
        <w:tc>
          <w:tcPr>
            <w:tcW w:w="4992" w:type="dxa"/>
            <w:tcBorders>
              <w:tl2br w:val="nil"/>
              <w:tr2bl w:val="nil"/>
            </w:tcBorders>
            <w:noWrap w:val="0"/>
            <w:tcMar>
              <w:top w:w="28" w:type="dxa"/>
              <w:left w:w="28" w:type="dxa"/>
              <w:bottom w:w="28" w:type="dxa"/>
              <w:right w:w="28" w:type="dxa"/>
            </w:tcMar>
            <w:vAlign w:val="center"/>
          </w:tcPr>
          <w:p w14:paraId="1530B7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加强诉前调解队伍建设，全面整合人民调解、行政调解、司法调解资源，做好做优诉前调解工作，提高调处化解民事纠纷效率，有效降低诉讼率。</w:t>
            </w:r>
          </w:p>
        </w:tc>
        <w:tc>
          <w:tcPr>
            <w:tcW w:w="2251" w:type="dxa"/>
            <w:tcBorders>
              <w:tl2br w:val="nil"/>
              <w:tr2bl w:val="nil"/>
            </w:tcBorders>
            <w:noWrap w:val="0"/>
            <w:tcMar>
              <w:top w:w="28" w:type="dxa"/>
              <w:left w:w="28" w:type="dxa"/>
              <w:bottom w:w="28" w:type="dxa"/>
              <w:right w:w="28" w:type="dxa"/>
            </w:tcMar>
            <w:vAlign w:val="center"/>
          </w:tcPr>
          <w:p w14:paraId="2566D78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49911D6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9E1D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18" w:type="dxa"/>
            <w:tcBorders>
              <w:tl2br w:val="nil"/>
              <w:tr2bl w:val="nil"/>
            </w:tcBorders>
            <w:noWrap w:val="0"/>
            <w:tcMar>
              <w:top w:w="28" w:type="dxa"/>
              <w:left w:w="28" w:type="dxa"/>
              <w:bottom w:w="28" w:type="dxa"/>
              <w:right w:w="28" w:type="dxa"/>
            </w:tcMar>
            <w:vAlign w:val="center"/>
          </w:tcPr>
          <w:p w14:paraId="2115B1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118</w:t>
            </w:r>
          </w:p>
        </w:tc>
        <w:tc>
          <w:tcPr>
            <w:tcW w:w="988" w:type="dxa"/>
            <w:vMerge w:val="continue"/>
            <w:tcBorders>
              <w:tl2br w:val="nil"/>
              <w:tr2bl w:val="nil"/>
            </w:tcBorders>
            <w:noWrap w:val="0"/>
            <w:tcMar>
              <w:top w:w="28" w:type="dxa"/>
              <w:left w:w="28" w:type="dxa"/>
              <w:bottom w:w="28" w:type="dxa"/>
              <w:right w:w="28" w:type="dxa"/>
            </w:tcMar>
            <w:vAlign w:val="center"/>
          </w:tcPr>
          <w:p w14:paraId="78385F2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A256D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压缩涉企商业纠纷诉执流转天数</w:t>
            </w:r>
          </w:p>
        </w:tc>
        <w:tc>
          <w:tcPr>
            <w:tcW w:w="4992" w:type="dxa"/>
            <w:tcBorders>
              <w:tl2br w:val="nil"/>
              <w:tr2bl w:val="nil"/>
            </w:tcBorders>
            <w:noWrap w:val="0"/>
            <w:tcMar>
              <w:top w:w="28" w:type="dxa"/>
              <w:left w:w="28" w:type="dxa"/>
              <w:bottom w:w="28" w:type="dxa"/>
              <w:right w:w="28" w:type="dxa"/>
            </w:tcMar>
            <w:vAlign w:val="center"/>
          </w:tcPr>
          <w:p w14:paraId="0AD2007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压缩涉企商业纠纷诉执流转平均天数，减少企业实现胜诉权益时间，保障企业合法权益。</w:t>
            </w:r>
          </w:p>
        </w:tc>
        <w:tc>
          <w:tcPr>
            <w:tcW w:w="2251" w:type="dxa"/>
            <w:tcBorders>
              <w:tl2br w:val="nil"/>
              <w:tr2bl w:val="nil"/>
            </w:tcBorders>
            <w:noWrap w:val="0"/>
            <w:tcMar>
              <w:top w:w="28" w:type="dxa"/>
              <w:left w:w="28" w:type="dxa"/>
              <w:bottom w:w="28" w:type="dxa"/>
              <w:right w:w="28" w:type="dxa"/>
            </w:tcMar>
            <w:vAlign w:val="center"/>
          </w:tcPr>
          <w:p w14:paraId="50C35C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53E08DA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BB3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518" w:type="dxa"/>
            <w:tcBorders>
              <w:tl2br w:val="nil"/>
              <w:tr2bl w:val="nil"/>
            </w:tcBorders>
            <w:noWrap w:val="0"/>
            <w:tcMar>
              <w:top w:w="28" w:type="dxa"/>
              <w:left w:w="28" w:type="dxa"/>
              <w:bottom w:w="28" w:type="dxa"/>
              <w:right w:w="28" w:type="dxa"/>
            </w:tcMar>
            <w:vAlign w:val="center"/>
          </w:tcPr>
          <w:p w14:paraId="705282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119</w:t>
            </w:r>
          </w:p>
        </w:tc>
        <w:tc>
          <w:tcPr>
            <w:tcW w:w="988" w:type="dxa"/>
            <w:vMerge w:val="continue"/>
            <w:tcBorders>
              <w:tl2br w:val="nil"/>
              <w:tr2bl w:val="nil"/>
            </w:tcBorders>
            <w:noWrap w:val="0"/>
            <w:tcMar>
              <w:top w:w="28" w:type="dxa"/>
              <w:left w:w="28" w:type="dxa"/>
              <w:bottom w:w="28" w:type="dxa"/>
              <w:right w:w="28" w:type="dxa"/>
            </w:tcMar>
            <w:vAlign w:val="center"/>
          </w:tcPr>
          <w:p w14:paraId="4F6C1A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4A973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提高电子文书送达比例</w:t>
            </w:r>
          </w:p>
        </w:tc>
        <w:tc>
          <w:tcPr>
            <w:tcW w:w="4992" w:type="dxa"/>
            <w:tcBorders>
              <w:tl2br w:val="nil"/>
              <w:tr2bl w:val="nil"/>
            </w:tcBorders>
            <w:noWrap w:val="0"/>
            <w:tcMar>
              <w:top w:w="28" w:type="dxa"/>
              <w:left w:w="28" w:type="dxa"/>
              <w:bottom w:w="28" w:type="dxa"/>
              <w:right w:w="28" w:type="dxa"/>
            </w:tcMar>
            <w:vAlign w:val="center"/>
          </w:tcPr>
          <w:p w14:paraId="0FF110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提高电子文书送达比例，公开平均用时、费用、结案率等重点质效数据。</w:t>
            </w:r>
          </w:p>
        </w:tc>
        <w:tc>
          <w:tcPr>
            <w:tcW w:w="2251" w:type="dxa"/>
            <w:tcBorders>
              <w:tl2br w:val="nil"/>
              <w:tr2bl w:val="nil"/>
            </w:tcBorders>
            <w:noWrap w:val="0"/>
            <w:tcMar>
              <w:top w:w="28" w:type="dxa"/>
              <w:left w:w="28" w:type="dxa"/>
              <w:bottom w:w="28" w:type="dxa"/>
              <w:right w:w="28" w:type="dxa"/>
            </w:tcMar>
            <w:vAlign w:val="center"/>
          </w:tcPr>
          <w:p w14:paraId="5C50CD9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5B62300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C04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518" w:type="dxa"/>
            <w:tcBorders>
              <w:tl2br w:val="nil"/>
              <w:tr2bl w:val="nil"/>
            </w:tcBorders>
            <w:noWrap w:val="0"/>
            <w:tcMar>
              <w:top w:w="28" w:type="dxa"/>
              <w:left w:w="28" w:type="dxa"/>
              <w:bottom w:w="28" w:type="dxa"/>
              <w:right w:w="28" w:type="dxa"/>
            </w:tcMar>
            <w:vAlign w:val="center"/>
          </w:tcPr>
          <w:p w14:paraId="32E927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120</w:t>
            </w:r>
          </w:p>
        </w:tc>
        <w:tc>
          <w:tcPr>
            <w:tcW w:w="988" w:type="dxa"/>
            <w:vMerge w:val="continue"/>
            <w:tcBorders>
              <w:tl2br w:val="nil"/>
              <w:tr2bl w:val="nil"/>
            </w:tcBorders>
            <w:noWrap w:val="0"/>
            <w:tcMar>
              <w:top w:w="28" w:type="dxa"/>
              <w:left w:w="28" w:type="dxa"/>
              <w:bottom w:w="28" w:type="dxa"/>
              <w:right w:w="28" w:type="dxa"/>
            </w:tcMar>
            <w:vAlign w:val="center"/>
          </w:tcPr>
          <w:p w14:paraId="4D2057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AEAABD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提升涉企案件法定审限内结案率</w:t>
            </w:r>
          </w:p>
        </w:tc>
        <w:tc>
          <w:tcPr>
            <w:tcW w:w="4992" w:type="dxa"/>
            <w:tcBorders>
              <w:tl2br w:val="nil"/>
              <w:tr2bl w:val="nil"/>
            </w:tcBorders>
            <w:noWrap w:val="0"/>
            <w:tcMar>
              <w:top w:w="28" w:type="dxa"/>
              <w:left w:w="28" w:type="dxa"/>
              <w:bottom w:w="28" w:type="dxa"/>
              <w:right w:w="28" w:type="dxa"/>
            </w:tcMar>
            <w:vAlign w:val="center"/>
          </w:tcPr>
          <w:p w14:paraId="409380C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民事一审涉企案件法定审限内结案率（各市任务：南宁市72%、柳州市93%、桂林市95%、梧州市91%、北海市80%、防城港市89%、钦州市91%、贵港市94%、玉林市92%、百色市91%、贺州市95%、河池市91%、来宾市92%、崇左市92%）。</w:t>
            </w:r>
          </w:p>
        </w:tc>
        <w:tc>
          <w:tcPr>
            <w:tcW w:w="2251" w:type="dxa"/>
            <w:tcBorders>
              <w:tl2br w:val="nil"/>
              <w:tr2bl w:val="nil"/>
            </w:tcBorders>
            <w:noWrap w:val="0"/>
            <w:tcMar>
              <w:top w:w="28" w:type="dxa"/>
              <w:left w:w="28" w:type="dxa"/>
              <w:bottom w:w="28" w:type="dxa"/>
              <w:right w:w="28" w:type="dxa"/>
            </w:tcMar>
            <w:vAlign w:val="center"/>
          </w:tcPr>
          <w:p w14:paraId="7808F1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2E0A036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A8F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4FBF7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121</w:t>
            </w:r>
          </w:p>
        </w:tc>
        <w:tc>
          <w:tcPr>
            <w:tcW w:w="988" w:type="dxa"/>
            <w:vMerge w:val="restart"/>
            <w:tcBorders>
              <w:tl2br w:val="nil"/>
              <w:tr2bl w:val="nil"/>
            </w:tcBorders>
            <w:noWrap w:val="0"/>
            <w:tcMar>
              <w:top w:w="28" w:type="dxa"/>
              <w:left w:w="28" w:type="dxa"/>
              <w:bottom w:w="28" w:type="dxa"/>
              <w:right w:w="28" w:type="dxa"/>
            </w:tcMar>
            <w:vAlign w:val="center"/>
          </w:tcPr>
          <w:p w14:paraId="4BF4FF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办理破产</w:t>
            </w:r>
          </w:p>
        </w:tc>
        <w:tc>
          <w:tcPr>
            <w:tcW w:w="2038" w:type="dxa"/>
            <w:tcBorders>
              <w:tl2br w:val="nil"/>
              <w:tr2bl w:val="nil"/>
            </w:tcBorders>
            <w:noWrap w:val="0"/>
            <w:tcMar>
              <w:top w:w="28" w:type="dxa"/>
              <w:left w:w="28" w:type="dxa"/>
              <w:bottom w:w="28" w:type="dxa"/>
              <w:right w:w="28" w:type="dxa"/>
            </w:tcMar>
            <w:vAlign w:val="center"/>
          </w:tcPr>
          <w:p w14:paraId="6A0762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拓宽府院联动机制的广度和深度</w:t>
            </w:r>
          </w:p>
        </w:tc>
        <w:tc>
          <w:tcPr>
            <w:tcW w:w="4992" w:type="dxa"/>
            <w:tcBorders>
              <w:tl2br w:val="nil"/>
              <w:tr2bl w:val="nil"/>
            </w:tcBorders>
            <w:noWrap w:val="0"/>
            <w:tcMar>
              <w:top w:w="28" w:type="dxa"/>
              <w:left w:w="28" w:type="dxa"/>
              <w:bottom w:w="28" w:type="dxa"/>
              <w:right w:w="28" w:type="dxa"/>
            </w:tcMar>
            <w:vAlign w:val="center"/>
          </w:tcPr>
          <w:p w14:paraId="375985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充分发挥破产程序救助重整功能，助推危困企业重获生机。加强对困境房地产企业破产原因识别，坚持一体化处理原则，合理运用破产重整、和解、清算程序，尽可能挽救具有存续可能价值的房地产困境企业，最大限度维护购房人、债权人合法权益，推动实现房地产破产企业风险整体化解。</w:t>
            </w:r>
          </w:p>
        </w:tc>
        <w:tc>
          <w:tcPr>
            <w:tcW w:w="2251" w:type="dxa"/>
            <w:tcBorders>
              <w:tl2br w:val="nil"/>
              <w:tr2bl w:val="nil"/>
            </w:tcBorders>
            <w:noWrap w:val="0"/>
            <w:tcMar>
              <w:top w:w="28" w:type="dxa"/>
              <w:left w:w="28" w:type="dxa"/>
              <w:bottom w:w="28" w:type="dxa"/>
              <w:right w:w="28" w:type="dxa"/>
            </w:tcMar>
            <w:vAlign w:val="center"/>
          </w:tcPr>
          <w:p w14:paraId="4E941E4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1E4D422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0F2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518" w:type="dxa"/>
            <w:tcBorders>
              <w:tl2br w:val="nil"/>
              <w:tr2bl w:val="nil"/>
            </w:tcBorders>
            <w:noWrap w:val="0"/>
            <w:tcMar>
              <w:top w:w="28" w:type="dxa"/>
              <w:left w:w="28" w:type="dxa"/>
              <w:bottom w:w="28" w:type="dxa"/>
              <w:right w:w="28" w:type="dxa"/>
            </w:tcMar>
            <w:vAlign w:val="center"/>
          </w:tcPr>
          <w:p w14:paraId="7361F3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122</w:t>
            </w:r>
          </w:p>
        </w:tc>
        <w:tc>
          <w:tcPr>
            <w:tcW w:w="988" w:type="dxa"/>
            <w:vMerge w:val="continue"/>
            <w:tcBorders>
              <w:tl2br w:val="nil"/>
              <w:tr2bl w:val="nil"/>
            </w:tcBorders>
            <w:noWrap w:val="0"/>
            <w:tcMar>
              <w:top w:w="28" w:type="dxa"/>
              <w:left w:w="28" w:type="dxa"/>
              <w:bottom w:w="28" w:type="dxa"/>
              <w:right w:w="28" w:type="dxa"/>
            </w:tcMar>
            <w:vAlign w:val="center"/>
          </w:tcPr>
          <w:p w14:paraId="3C9407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0A4B5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强化破产管理人保障</w:t>
            </w:r>
          </w:p>
        </w:tc>
        <w:tc>
          <w:tcPr>
            <w:tcW w:w="4992" w:type="dxa"/>
            <w:tcBorders>
              <w:tl2br w:val="nil"/>
              <w:tr2bl w:val="nil"/>
            </w:tcBorders>
            <w:noWrap w:val="0"/>
            <w:tcMar>
              <w:top w:w="28" w:type="dxa"/>
              <w:left w:w="28" w:type="dxa"/>
              <w:bottom w:w="28" w:type="dxa"/>
              <w:right w:w="28" w:type="dxa"/>
            </w:tcMar>
            <w:vAlign w:val="center"/>
          </w:tcPr>
          <w:p w14:paraId="266BA8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加强对破产管理人工作的监督管理，完成《广西企业破产案件管理人名册》更新工作，合理控制在册管理人数量。</w:t>
            </w:r>
          </w:p>
        </w:tc>
        <w:tc>
          <w:tcPr>
            <w:tcW w:w="2251" w:type="dxa"/>
            <w:tcBorders>
              <w:tl2br w:val="nil"/>
              <w:tr2bl w:val="nil"/>
            </w:tcBorders>
            <w:noWrap w:val="0"/>
            <w:tcMar>
              <w:top w:w="28" w:type="dxa"/>
              <w:left w:w="28" w:type="dxa"/>
              <w:bottom w:w="28" w:type="dxa"/>
              <w:right w:w="28" w:type="dxa"/>
            </w:tcMar>
            <w:vAlign w:val="center"/>
          </w:tcPr>
          <w:p w14:paraId="09D38E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w:t>
            </w:r>
          </w:p>
        </w:tc>
        <w:tc>
          <w:tcPr>
            <w:tcW w:w="2309" w:type="dxa"/>
            <w:tcBorders>
              <w:tl2br w:val="nil"/>
              <w:tr2bl w:val="nil"/>
            </w:tcBorders>
            <w:noWrap w:val="0"/>
            <w:tcMar>
              <w:top w:w="28" w:type="dxa"/>
              <w:left w:w="28" w:type="dxa"/>
              <w:bottom w:w="28" w:type="dxa"/>
              <w:right w:w="28" w:type="dxa"/>
            </w:tcMar>
            <w:vAlign w:val="center"/>
          </w:tcPr>
          <w:p w14:paraId="6527FA5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D07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jc w:val="center"/>
        </w:trPr>
        <w:tc>
          <w:tcPr>
            <w:tcW w:w="518" w:type="dxa"/>
            <w:tcBorders>
              <w:tl2br w:val="nil"/>
              <w:tr2bl w:val="nil"/>
            </w:tcBorders>
            <w:noWrap w:val="0"/>
            <w:tcMar>
              <w:top w:w="28" w:type="dxa"/>
              <w:left w:w="28" w:type="dxa"/>
              <w:bottom w:w="28" w:type="dxa"/>
              <w:right w:w="28" w:type="dxa"/>
            </w:tcMar>
            <w:vAlign w:val="center"/>
          </w:tcPr>
          <w:p w14:paraId="3FB6F5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123</w:t>
            </w:r>
          </w:p>
        </w:tc>
        <w:tc>
          <w:tcPr>
            <w:tcW w:w="988" w:type="dxa"/>
            <w:vMerge w:val="restart"/>
            <w:tcBorders>
              <w:tl2br w:val="nil"/>
              <w:tr2bl w:val="nil"/>
            </w:tcBorders>
            <w:noWrap w:val="0"/>
            <w:tcMar>
              <w:top w:w="28" w:type="dxa"/>
              <w:left w:w="28" w:type="dxa"/>
              <w:bottom w:w="28" w:type="dxa"/>
              <w:right w:w="28" w:type="dxa"/>
            </w:tcMar>
            <w:vAlign w:val="center"/>
          </w:tcPr>
          <w:p w14:paraId="6497140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099DE2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开展防范化解拖欠企业账款工作</w:t>
            </w:r>
          </w:p>
        </w:tc>
        <w:tc>
          <w:tcPr>
            <w:tcW w:w="4992" w:type="dxa"/>
            <w:tcBorders>
              <w:tl2br w:val="nil"/>
              <w:tr2bl w:val="nil"/>
            </w:tcBorders>
            <w:noWrap w:val="0"/>
            <w:tcMar>
              <w:top w:w="28" w:type="dxa"/>
              <w:left w:w="28" w:type="dxa"/>
              <w:bottom w:w="28" w:type="dxa"/>
              <w:right w:w="28" w:type="dxa"/>
            </w:tcMar>
            <w:vAlign w:val="center"/>
          </w:tcPr>
          <w:p w14:paraId="13FEA9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限期办结企业投诉拖欠账款问题线索，立行立改、应偿尽偿，采取组织双方或以政府名义签订还款协议、推动进入司法程序等措施，确保无分歧账款快速清偿化解。</w:t>
            </w:r>
          </w:p>
        </w:tc>
        <w:tc>
          <w:tcPr>
            <w:tcW w:w="2251" w:type="dxa"/>
            <w:tcBorders>
              <w:tl2br w:val="nil"/>
              <w:tr2bl w:val="nil"/>
            </w:tcBorders>
            <w:noWrap w:val="0"/>
            <w:tcMar>
              <w:top w:w="28" w:type="dxa"/>
              <w:left w:w="28" w:type="dxa"/>
              <w:bottom w:w="28" w:type="dxa"/>
              <w:right w:w="28" w:type="dxa"/>
            </w:tcMar>
            <w:vAlign w:val="center"/>
          </w:tcPr>
          <w:p w14:paraId="5CCA56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w:t>
            </w:r>
          </w:p>
          <w:p w14:paraId="64D87D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信息化厅</w:t>
            </w:r>
          </w:p>
        </w:tc>
        <w:tc>
          <w:tcPr>
            <w:tcW w:w="2309" w:type="dxa"/>
            <w:tcBorders>
              <w:tl2br w:val="nil"/>
              <w:tr2bl w:val="nil"/>
            </w:tcBorders>
            <w:noWrap w:val="0"/>
            <w:tcMar>
              <w:top w:w="28" w:type="dxa"/>
              <w:left w:w="28" w:type="dxa"/>
              <w:bottom w:w="28" w:type="dxa"/>
              <w:right w:w="28" w:type="dxa"/>
            </w:tcMar>
            <w:vAlign w:val="center"/>
          </w:tcPr>
          <w:p w14:paraId="17AD2D6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57B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518" w:type="dxa"/>
            <w:tcBorders>
              <w:tl2br w:val="nil"/>
              <w:tr2bl w:val="nil"/>
            </w:tcBorders>
            <w:noWrap w:val="0"/>
            <w:tcMar>
              <w:top w:w="28" w:type="dxa"/>
              <w:left w:w="28" w:type="dxa"/>
              <w:bottom w:w="28" w:type="dxa"/>
              <w:right w:w="28" w:type="dxa"/>
            </w:tcMar>
            <w:vAlign w:val="center"/>
          </w:tcPr>
          <w:p w14:paraId="55CDC5C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124</w:t>
            </w:r>
          </w:p>
        </w:tc>
        <w:tc>
          <w:tcPr>
            <w:tcW w:w="988" w:type="dxa"/>
            <w:vMerge w:val="continue"/>
            <w:tcBorders>
              <w:tl2br w:val="nil"/>
              <w:tr2bl w:val="nil"/>
            </w:tcBorders>
            <w:noWrap w:val="0"/>
            <w:tcMar>
              <w:top w:w="28" w:type="dxa"/>
              <w:left w:w="28" w:type="dxa"/>
              <w:bottom w:w="28" w:type="dxa"/>
              <w:right w:w="28" w:type="dxa"/>
            </w:tcMar>
            <w:vAlign w:val="center"/>
          </w:tcPr>
          <w:p w14:paraId="095B1D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177BA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加快完善全区跨部门综合监管制度体系</w:t>
            </w:r>
          </w:p>
        </w:tc>
        <w:tc>
          <w:tcPr>
            <w:tcW w:w="4992" w:type="dxa"/>
            <w:tcBorders>
              <w:tl2br w:val="nil"/>
              <w:tr2bl w:val="nil"/>
            </w:tcBorders>
            <w:noWrap w:val="0"/>
            <w:tcMar>
              <w:top w:w="28" w:type="dxa"/>
              <w:left w:w="28" w:type="dxa"/>
              <w:bottom w:w="28" w:type="dxa"/>
              <w:right w:w="28" w:type="dxa"/>
            </w:tcMar>
            <w:vAlign w:val="center"/>
          </w:tcPr>
          <w:p w14:paraId="32B3A65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部门联动，按照“谁审批、谁监管、谁主管、谁监管”原则以及法律法规、“三定”规定和权责清单规定，明确跨部门综合监管事项责任分工、牵头监管部门和配合监管部门，推进试点场景的跨部门综合监管工作。</w:t>
            </w:r>
          </w:p>
        </w:tc>
        <w:tc>
          <w:tcPr>
            <w:tcW w:w="2251" w:type="dxa"/>
            <w:tcBorders>
              <w:tl2br w:val="nil"/>
              <w:tr2bl w:val="nil"/>
            </w:tcBorders>
            <w:noWrap w:val="0"/>
            <w:tcMar>
              <w:top w:w="28" w:type="dxa"/>
              <w:left w:w="28" w:type="dxa"/>
              <w:bottom w:w="28" w:type="dxa"/>
              <w:right w:w="28" w:type="dxa"/>
            </w:tcMar>
            <w:vAlign w:val="center"/>
          </w:tcPr>
          <w:p w14:paraId="6107E96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自治区数据局、各行业主管部门</w:t>
            </w:r>
          </w:p>
        </w:tc>
        <w:tc>
          <w:tcPr>
            <w:tcW w:w="2309" w:type="dxa"/>
            <w:tcBorders>
              <w:tl2br w:val="nil"/>
              <w:tr2bl w:val="nil"/>
            </w:tcBorders>
            <w:noWrap w:val="0"/>
            <w:tcMar>
              <w:top w:w="28" w:type="dxa"/>
              <w:left w:w="28" w:type="dxa"/>
              <w:bottom w:w="28" w:type="dxa"/>
              <w:right w:w="28" w:type="dxa"/>
            </w:tcMar>
            <w:vAlign w:val="center"/>
          </w:tcPr>
          <w:p w14:paraId="1570125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自治区党委编办，自治区发展改革委、司法厅、市场监管局，各市、县人民政府</w:t>
            </w:r>
          </w:p>
        </w:tc>
      </w:tr>
      <w:tr w14:paraId="40FD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jc w:val="center"/>
        </w:trPr>
        <w:tc>
          <w:tcPr>
            <w:tcW w:w="518" w:type="dxa"/>
            <w:tcBorders>
              <w:tl2br w:val="nil"/>
              <w:tr2bl w:val="nil"/>
            </w:tcBorders>
            <w:noWrap w:val="0"/>
            <w:tcMar>
              <w:top w:w="28" w:type="dxa"/>
              <w:left w:w="28" w:type="dxa"/>
              <w:bottom w:w="28" w:type="dxa"/>
              <w:right w:w="28" w:type="dxa"/>
            </w:tcMar>
            <w:vAlign w:val="center"/>
          </w:tcPr>
          <w:p w14:paraId="7877B3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125</w:t>
            </w:r>
          </w:p>
        </w:tc>
        <w:tc>
          <w:tcPr>
            <w:tcW w:w="988" w:type="dxa"/>
            <w:vMerge w:val="continue"/>
            <w:tcBorders>
              <w:tl2br w:val="nil"/>
              <w:tr2bl w:val="nil"/>
            </w:tcBorders>
            <w:noWrap w:val="0"/>
            <w:tcMar>
              <w:top w:w="28" w:type="dxa"/>
              <w:left w:w="28" w:type="dxa"/>
              <w:bottom w:w="28" w:type="dxa"/>
              <w:right w:w="28" w:type="dxa"/>
            </w:tcMar>
            <w:vAlign w:val="center"/>
          </w:tcPr>
          <w:p w14:paraId="4673DF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5C5264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推进跨部门“综合监管一件事”建设</w:t>
            </w:r>
          </w:p>
        </w:tc>
        <w:tc>
          <w:tcPr>
            <w:tcW w:w="4992" w:type="dxa"/>
            <w:tcBorders>
              <w:tl2br w:val="nil"/>
              <w:tr2bl w:val="nil"/>
            </w:tcBorders>
            <w:noWrap w:val="0"/>
            <w:tcMar>
              <w:top w:w="28" w:type="dxa"/>
              <w:left w:w="28" w:type="dxa"/>
              <w:bottom w:w="28" w:type="dxa"/>
              <w:right w:w="28" w:type="dxa"/>
            </w:tcMar>
            <w:vAlign w:val="center"/>
          </w:tcPr>
          <w:p w14:paraId="0E4A424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牵头监管部门和配合监管部门建立健全跨部门、跨层级，标准、计划、清单、数据全协同的监管机制，推行“一业一册”、“一业一单”、“一业一平”场景化监管，推动试点场景有序落地。强化部门联动，梳理各场景事项服务清单，明确场景建设需求，加快推进跨部门综合监管平台建设。</w:t>
            </w:r>
          </w:p>
        </w:tc>
        <w:tc>
          <w:tcPr>
            <w:tcW w:w="2251" w:type="dxa"/>
            <w:tcBorders>
              <w:tl2br w:val="nil"/>
              <w:tr2bl w:val="nil"/>
            </w:tcBorders>
            <w:noWrap w:val="0"/>
            <w:tcMar>
              <w:top w:w="28" w:type="dxa"/>
              <w:left w:w="28" w:type="dxa"/>
              <w:bottom w:w="28" w:type="dxa"/>
              <w:right w:w="28" w:type="dxa"/>
            </w:tcMar>
            <w:vAlign w:val="center"/>
          </w:tcPr>
          <w:p w14:paraId="01E1C7F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自治区数据局、各行业主管部门</w:t>
            </w:r>
          </w:p>
        </w:tc>
        <w:tc>
          <w:tcPr>
            <w:tcW w:w="2309" w:type="dxa"/>
            <w:tcBorders>
              <w:tl2br w:val="nil"/>
              <w:tr2bl w:val="nil"/>
            </w:tcBorders>
            <w:noWrap w:val="0"/>
            <w:tcMar>
              <w:top w:w="28" w:type="dxa"/>
              <w:left w:w="28" w:type="dxa"/>
              <w:bottom w:w="28" w:type="dxa"/>
              <w:right w:w="28" w:type="dxa"/>
            </w:tcMar>
            <w:vAlign w:val="center"/>
          </w:tcPr>
          <w:p w14:paraId="730446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自治区党委编办，自治区发展改革委、司法厅、市场监管局，各市、县人民政府</w:t>
            </w:r>
          </w:p>
        </w:tc>
      </w:tr>
      <w:tr w14:paraId="6525A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518" w:type="dxa"/>
            <w:tcBorders>
              <w:tl2br w:val="nil"/>
              <w:tr2bl w:val="nil"/>
            </w:tcBorders>
            <w:noWrap w:val="0"/>
            <w:tcMar>
              <w:top w:w="28" w:type="dxa"/>
              <w:left w:w="28" w:type="dxa"/>
              <w:bottom w:w="28" w:type="dxa"/>
              <w:right w:w="28" w:type="dxa"/>
            </w:tcMar>
            <w:vAlign w:val="center"/>
          </w:tcPr>
          <w:p w14:paraId="192E2F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126</w:t>
            </w:r>
          </w:p>
        </w:tc>
        <w:tc>
          <w:tcPr>
            <w:tcW w:w="988" w:type="dxa"/>
            <w:vMerge w:val="restart"/>
            <w:tcBorders>
              <w:tl2br w:val="nil"/>
              <w:tr2bl w:val="nil"/>
            </w:tcBorders>
            <w:noWrap w:val="0"/>
            <w:tcMar>
              <w:top w:w="28" w:type="dxa"/>
              <w:left w:w="28" w:type="dxa"/>
              <w:bottom w:w="28" w:type="dxa"/>
              <w:right w:w="28" w:type="dxa"/>
            </w:tcMar>
            <w:vAlign w:val="center"/>
          </w:tcPr>
          <w:p w14:paraId="0EA665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442318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“双随机、一公开”</w:t>
            </w:r>
          </w:p>
        </w:tc>
        <w:tc>
          <w:tcPr>
            <w:tcW w:w="4992" w:type="dxa"/>
            <w:tcBorders>
              <w:tl2br w:val="nil"/>
              <w:tr2bl w:val="nil"/>
            </w:tcBorders>
            <w:noWrap w:val="0"/>
            <w:tcMar>
              <w:top w:w="28" w:type="dxa"/>
              <w:left w:w="28" w:type="dxa"/>
              <w:bottom w:w="28" w:type="dxa"/>
              <w:right w:w="28" w:type="dxa"/>
            </w:tcMar>
            <w:vAlign w:val="center"/>
          </w:tcPr>
          <w:p w14:paraId="58C457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深入推进跨部门“双随机、一公开”监管，试点推行“一业一查”，避免多头执法、重复检查。</w:t>
            </w:r>
          </w:p>
        </w:tc>
        <w:tc>
          <w:tcPr>
            <w:tcW w:w="2251" w:type="dxa"/>
            <w:tcBorders>
              <w:tl2br w:val="nil"/>
              <w:tr2bl w:val="nil"/>
            </w:tcBorders>
            <w:noWrap w:val="0"/>
            <w:tcMar>
              <w:top w:w="28" w:type="dxa"/>
              <w:left w:w="28" w:type="dxa"/>
              <w:bottom w:w="28" w:type="dxa"/>
              <w:right w:w="28" w:type="dxa"/>
            </w:tcMar>
            <w:vAlign w:val="center"/>
          </w:tcPr>
          <w:p w14:paraId="547B4F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4E9CD67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83D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518" w:type="dxa"/>
            <w:tcBorders>
              <w:tl2br w:val="nil"/>
              <w:tr2bl w:val="nil"/>
            </w:tcBorders>
            <w:noWrap w:val="0"/>
            <w:tcMar>
              <w:top w:w="28" w:type="dxa"/>
              <w:left w:w="28" w:type="dxa"/>
              <w:bottom w:w="28" w:type="dxa"/>
              <w:right w:w="28" w:type="dxa"/>
            </w:tcMar>
            <w:vAlign w:val="center"/>
          </w:tcPr>
          <w:p w14:paraId="72FECD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127</w:t>
            </w:r>
          </w:p>
        </w:tc>
        <w:tc>
          <w:tcPr>
            <w:tcW w:w="988" w:type="dxa"/>
            <w:vMerge w:val="continue"/>
            <w:tcBorders>
              <w:tl2br w:val="nil"/>
              <w:tr2bl w:val="nil"/>
            </w:tcBorders>
            <w:noWrap w:val="0"/>
            <w:tcMar>
              <w:top w:w="28" w:type="dxa"/>
              <w:left w:w="28" w:type="dxa"/>
              <w:bottom w:w="28" w:type="dxa"/>
              <w:right w:w="28" w:type="dxa"/>
            </w:tcMar>
            <w:vAlign w:val="center"/>
          </w:tcPr>
          <w:p w14:paraId="3BB251C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3FABA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社会信用体系建设</w:t>
            </w:r>
          </w:p>
        </w:tc>
        <w:tc>
          <w:tcPr>
            <w:tcW w:w="4992" w:type="dxa"/>
            <w:tcBorders>
              <w:tl2br w:val="nil"/>
              <w:tr2bl w:val="nil"/>
            </w:tcBorders>
            <w:noWrap w:val="0"/>
            <w:tcMar>
              <w:top w:w="28" w:type="dxa"/>
              <w:left w:w="28" w:type="dxa"/>
              <w:bottom w:w="28" w:type="dxa"/>
              <w:right w:w="28" w:type="dxa"/>
            </w:tcMar>
            <w:vAlign w:val="center"/>
          </w:tcPr>
          <w:p w14:paraId="2156360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加强部门联动，运用信用评价结果进行分级分类监管，对信用差的主体采取增加抽查检查比例和频次、加大监管力度等信用约束和联合惩戒措施，让失信主体一处违法、处处受限。</w:t>
            </w:r>
          </w:p>
        </w:tc>
        <w:tc>
          <w:tcPr>
            <w:tcW w:w="2251" w:type="dxa"/>
            <w:tcBorders>
              <w:tl2br w:val="nil"/>
              <w:tr2bl w:val="nil"/>
            </w:tcBorders>
            <w:noWrap w:val="0"/>
            <w:tcMar>
              <w:top w:w="28" w:type="dxa"/>
              <w:left w:w="28" w:type="dxa"/>
              <w:bottom w:w="28" w:type="dxa"/>
              <w:right w:w="28" w:type="dxa"/>
            </w:tcMar>
            <w:vAlign w:val="center"/>
          </w:tcPr>
          <w:p w14:paraId="184954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4F7E0FD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r>
      <w:tr w14:paraId="2795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jc w:val="center"/>
        </w:trPr>
        <w:tc>
          <w:tcPr>
            <w:tcW w:w="518" w:type="dxa"/>
            <w:tcBorders>
              <w:tl2br w:val="nil"/>
              <w:tr2bl w:val="nil"/>
            </w:tcBorders>
            <w:noWrap w:val="0"/>
            <w:tcMar>
              <w:top w:w="28" w:type="dxa"/>
              <w:left w:w="28" w:type="dxa"/>
              <w:bottom w:w="28" w:type="dxa"/>
              <w:right w:w="28" w:type="dxa"/>
            </w:tcMar>
            <w:vAlign w:val="center"/>
          </w:tcPr>
          <w:p w14:paraId="1FF3497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128</w:t>
            </w:r>
          </w:p>
        </w:tc>
        <w:tc>
          <w:tcPr>
            <w:tcW w:w="988" w:type="dxa"/>
            <w:vMerge w:val="continue"/>
            <w:tcBorders>
              <w:tl2br w:val="nil"/>
              <w:tr2bl w:val="nil"/>
            </w:tcBorders>
            <w:noWrap w:val="0"/>
            <w:tcMar>
              <w:top w:w="28" w:type="dxa"/>
              <w:left w:w="28" w:type="dxa"/>
              <w:bottom w:w="28" w:type="dxa"/>
              <w:right w:w="28" w:type="dxa"/>
            </w:tcMar>
            <w:vAlign w:val="center"/>
          </w:tcPr>
          <w:p w14:paraId="098BBBA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97612D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建设长效机制</w:t>
            </w:r>
          </w:p>
        </w:tc>
        <w:tc>
          <w:tcPr>
            <w:tcW w:w="4992" w:type="dxa"/>
            <w:tcBorders>
              <w:tl2br w:val="nil"/>
              <w:tr2bl w:val="nil"/>
            </w:tcBorders>
            <w:noWrap w:val="0"/>
            <w:tcMar>
              <w:top w:w="28" w:type="dxa"/>
              <w:left w:w="28" w:type="dxa"/>
              <w:bottom w:w="28" w:type="dxa"/>
              <w:right w:w="28" w:type="dxa"/>
            </w:tcMar>
            <w:vAlign w:val="center"/>
          </w:tcPr>
          <w:p w14:paraId="26AE4E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市场秩序综合治理，深入推进民生领域案件查办“铁拳”行动，加强网络、广告等重点领域监管，加快智慧监管工程建设，推动运用大数据、人工智能、物联感知、区块链等技术赋能非现场检查，实现“远程管”、“易分类”、“早干预”，减少现场检查次数。</w:t>
            </w:r>
          </w:p>
        </w:tc>
        <w:tc>
          <w:tcPr>
            <w:tcW w:w="2251" w:type="dxa"/>
            <w:tcBorders>
              <w:tl2br w:val="nil"/>
              <w:tr2bl w:val="nil"/>
            </w:tcBorders>
            <w:noWrap w:val="0"/>
            <w:tcMar>
              <w:top w:w="28" w:type="dxa"/>
              <w:left w:w="28" w:type="dxa"/>
              <w:bottom w:w="28" w:type="dxa"/>
              <w:right w:w="28" w:type="dxa"/>
            </w:tcMar>
            <w:vAlign w:val="center"/>
          </w:tcPr>
          <w:p w14:paraId="3D1397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p w14:paraId="26E08E2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数据局</w:t>
            </w:r>
          </w:p>
        </w:tc>
        <w:tc>
          <w:tcPr>
            <w:tcW w:w="2309" w:type="dxa"/>
            <w:tcBorders>
              <w:tl2br w:val="nil"/>
              <w:tr2bl w:val="nil"/>
            </w:tcBorders>
            <w:noWrap w:val="0"/>
            <w:tcMar>
              <w:top w:w="28" w:type="dxa"/>
              <w:left w:w="28" w:type="dxa"/>
              <w:bottom w:w="28" w:type="dxa"/>
              <w:right w:w="28" w:type="dxa"/>
            </w:tcMar>
            <w:vAlign w:val="center"/>
          </w:tcPr>
          <w:p w14:paraId="192EC0C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自治区有关单位，各市、县人民政府</w:t>
            </w:r>
          </w:p>
        </w:tc>
      </w:tr>
      <w:tr w14:paraId="403E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518" w:type="dxa"/>
            <w:tcBorders>
              <w:tl2br w:val="nil"/>
              <w:tr2bl w:val="nil"/>
            </w:tcBorders>
            <w:noWrap w:val="0"/>
            <w:tcMar>
              <w:top w:w="28" w:type="dxa"/>
              <w:left w:w="28" w:type="dxa"/>
              <w:bottom w:w="28" w:type="dxa"/>
              <w:right w:w="28" w:type="dxa"/>
            </w:tcMar>
            <w:vAlign w:val="center"/>
          </w:tcPr>
          <w:p w14:paraId="2A6D5A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129</w:t>
            </w:r>
          </w:p>
        </w:tc>
        <w:tc>
          <w:tcPr>
            <w:tcW w:w="988" w:type="dxa"/>
            <w:vMerge w:val="continue"/>
            <w:tcBorders>
              <w:tl2br w:val="nil"/>
              <w:tr2bl w:val="nil"/>
            </w:tcBorders>
            <w:noWrap w:val="0"/>
            <w:tcMar>
              <w:top w:w="28" w:type="dxa"/>
              <w:left w:w="28" w:type="dxa"/>
              <w:bottom w:w="28" w:type="dxa"/>
              <w:right w:w="28" w:type="dxa"/>
            </w:tcMar>
            <w:vAlign w:val="center"/>
          </w:tcPr>
          <w:p w14:paraId="61BD7C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7A1982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落实公平竞争审查制度</w:t>
            </w:r>
          </w:p>
        </w:tc>
        <w:tc>
          <w:tcPr>
            <w:tcW w:w="4992" w:type="dxa"/>
            <w:tcBorders>
              <w:tl2br w:val="nil"/>
              <w:tr2bl w:val="nil"/>
            </w:tcBorders>
            <w:noWrap w:val="0"/>
            <w:tcMar>
              <w:top w:w="28" w:type="dxa"/>
              <w:left w:w="28" w:type="dxa"/>
              <w:bottom w:w="28" w:type="dxa"/>
              <w:right w:w="28" w:type="dxa"/>
            </w:tcMar>
            <w:vAlign w:val="center"/>
          </w:tcPr>
          <w:p w14:paraId="00382B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严格落实公平竞争审查制度，及时清理废除含有地方保护、市场分割、指定交易等妨碍统一市场和公平竞争的政策。</w:t>
            </w:r>
          </w:p>
        </w:tc>
        <w:tc>
          <w:tcPr>
            <w:tcW w:w="2251" w:type="dxa"/>
            <w:tcBorders>
              <w:tl2br w:val="nil"/>
              <w:tr2bl w:val="nil"/>
            </w:tcBorders>
            <w:noWrap w:val="0"/>
            <w:tcMar>
              <w:top w:w="28" w:type="dxa"/>
              <w:left w:w="28" w:type="dxa"/>
              <w:bottom w:w="28" w:type="dxa"/>
              <w:right w:w="28" w:type="dxa"/>
            </w:tcMar>
            <w:vAlign w:val="center"/>
          </w:tcPr>
          <w:p w14:paraId="6AFF2E3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62D589F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007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518" w:type="dxa"/>
            <w:tcBorders>
              <w:tl2br w:val="nil"/>
              <w:tr2bl w:val="nil"/>
            </w:tcBorders>
            <w:noWrap w:val="0"/>
            <w:tcMar>
              <w:top w:w="28" w:type="dxa"/>
              <w:left w:w="28" w:type="dxa"/>
              <w:bottom w:w="28" w:type="dxa"/>
              <w:right w:w="28" w:type="dxa"/>
            </w:tcMar>
            <w:vAlign w:val="center"/>
          </w:tcPr>
          <w:p w14:paraId="252EEFC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130</w:t>
            </w:r>
          </w:p>
        </w:tc>
        <w:tc>
          <w:tcPr>
            <w:tcW w:w="988" w:type="dxa"/>
            <w:vMerge w:val="continue"/>
            <w:tcBorders>
              <w:tl2br w:val="nil"/>
              <w:tr2bl w:val="nil"/>
            </w:tcBorders>
            <w:noWrap w:val="0"/>
            <w:tcMar>
              <w:top w:w="28" w:type="dxa"/>
              <w:left w:w="28" w:type="dxa"/>
              <w:bottom w:w="28" w:type="dxa"/>
              <w:right w:w="28" w:type="dxa"/>
            </w:tcMar>
            <w:vAlign w:val="center"/>
          </w:tcPr>
          <w:p w14:paraId="2735221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5FAEB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反不正当竞争守护专项执法</w:t>
            </w:r>
          </w:p>
        </w:tc>
        <w:tc>
          <w:tcPr>
            <w:tcW w:w="4992" w:type="dxa"/>
            <w:tcBorders>
              <w:tl2br w:val="nil"/>
              <w:tr2bl w:val="nil"/>
            </w:tcBorders>
            <w:noWrap w:val="0"/>
            <w:tcMar>
              <w:top w:w="28" w:type="dxa"/>
              <w:left w:w="28" w:type="dxa"/>
              <w:bottom w:w="28" w:type="dxa"/>
              <w:right w:w="28" w:type="dxa"/>
            </w:tcMar>
            <w:vAlign w:val="center"/>
          </w:tcPr>
          <w:p w14:paraId="177AB7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组织开展反不正当竞争守护专项执法行动，重点查处互联网领域不正当竞争行为，规范民生领域营销行为，保护企业品牌和信誉。</w:t>
            </w:r>
          </w:p>
        </w:tc>
        <w:tc>
          <w:tcPr>
            <w:tcW w:w="2251" w:type="dxa"/>
            <w:tcBorders>
              <w:tl2br w:val="nil"/>
              <w:tr2bl w:val="nil"/>
            </w:tcBorders>
            <w:noWrap w:val="0"/>
            <w:tcMar>
              <w:top w:w="28" w:type="dxa"/>
              <w:left w:w="28" w:type="dxa"/>
              <w:bottom w:w="28" w:type="dxa"/>
              <w:right w:w="28" w:type="dxa"/>
            </w:tcMar>
            <w:vAlign w:val="center"/>
          </w:tcPr>
          <w:p w14:paraId="16E2BE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w:t>
            </w:r>
          </w:p>
        </w:tc>
        <w:tc>
          <w:tcPr>
            <w:tcW w:w="2309" w:type="dxa"/>
            <w:tcBorders>
              <w:tl2br w:val="nil"/>
              <w:tr2bl w:val="nil"/>
            </w:tcBorders>
            <w:noWrap w:val="0"/>
            <w:tcMar>
              <w:top w:w="28" w:type="dxa"/>
              <w:left w:w="28" w:type="dxa"/>
              <w:bottom w:w="28" w:type="dxa"/>
              <w:right w:w="28" w:type="dxa"/>
            </w:tcMar>
            <w:vAlign w:val="center"/>
          </w:tcPr>
          <w:p w14:paraId="67BC6BB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09667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jc w:val="center"/>
        </w:trPr>
        <w:tc>
          <w:tcPr>
            <w:tcW w:w="518" w:type="dxa"/>
            <w:tcBorders>
              <w:tl2br w:val="nil"/>
              <w:tr2bl w:val="nil"/>
            </w:tcBorders>
            <w:noWrap w:val="0"/>
            <w:tcMar>
              <w:top w:w="28" w:type="dxa"/>
              <w:left w:w="28" w:type="dxa"/>
              <w:bottom w:w="28" w:type="dxa"/>
              <w:right w:w="28" w:type="dxa"/>
            </w:tcMar>
            <w:vAlign w:val="center"/>
          </w:tcPr>
          <w:p w14:paraId="300D173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131</w:t>
            </w:r>
          </w:p>
        </w:tc>
        <w:tc>
          <w:tcPr>
            <w:tcW w:w="988" w:type="dxa"/>
            <w:vMerge w:val="continue"/>
            <w:tcBorders>
              <w:tl2br w:val="nil"/>
              <w:tr2bl w:val="nil"/>
            </w:tcBorders>
            <w:noWrap w:val="0"/>
            <w:tcMar>
              <w:top w:w="28" w:type="dxa"/>
              <w:left w:w="28" w:type="dxa"/>
              <w:bottom w:w="28" w:type="dxa"/>
              <w:right w:w="28" w:type="dxa"/>
            </w:tcMar>
            <w:vAlign w:val="center"/>
          </w:tcPr>
          <w:p w14:paraId="277DE05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81338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融入全国统一大市场</w:t>
            </w:r>
          </w:p>
        </w:tc>
        <w:tc>
          <w:tcPr>
            <w:tcW w:w="4992" w:type="dxa"/>
            <w:tcBorders>
              <w:tl2br w:val="nil"/>
              <w:tr2bl w:val="nil"/>
            </w:tcBorders>
            <w:noWrap w:val="0"/>
            <w:tcMar>
              <w:top w:w="28" w:type="dxa"/>
              <w:left w:w="28" w:type="dxa"/>
              <w:bottom w:w="28" w:type="dxa"/>
              <w:right w:w="28" w:type="dxa"/>
            </w:tcMar>
            <w:vAlign w:val="center"/>
          </w:tcPr>
          <w:p w14:paraId="0C4B47B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定新版市场准入负面清单广西分工方案，按季度持续开展违背市场准入负面清单有关规定的案例排查和归集工作，实施不当干预全国统一大市场建设行为问题整改和典型案例约谈通报制度，并督促问题整改，推动“非禁即入”全面落实。</w:t>
            </w:r>
          </w:p>
        </w:tc>
        <w:tc>
          <w:tcPr>
            <w:tcW w:w="2251" w:type="dxa"/>
            <w:tcBorders>
              <w:tl2br w:val="nil"/>
              <w:tr2bl w:val="nil"/>
            </w:tcBorders>
            <w:noWrap w:val="0"/>
            <w:tcMar>
              <w:top w:w="28" w:type="dxa"/>
              <w:left w:w="28" w:type="dxa"/>
              <w:bottom w:w="28" w:type="dxa"/>
              <w:right w:w="28" w:type="dxa"/>
            </w:tcMar>
            <w:vAlign w:val="center"/>
          </w:tcPr>
          <w:p w14:paraId="033B07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自治区发展改革委、市场监管局、商务厅</w:t>
            </w:r>
          </w:p>
        </w:tc>
        <w:tc>
          <w:tcPr>
            <w:tcW w:w="2309" w:type="dxa"/>
            <w:tcBorders>
              <w:tl2br w:val="nil"/>
              <w:tr2bl w:val="nil"/>
            </w:tcBorders>
            <w:noWrap w:val="0"/>
            <w:tcMar>
              <w:top w:w="28" w:type="dxa"/>
              <w:left w:w="28" w:type="dxa"/>
              <w:bottom w:w="28" w:type="dxa"/>
              <w:right w:w="28" w:type="dxa"/>
            </w:tcMar>
            <w:vAlign w:val="center"/>
          </w:tcPr>
          <w:p w14:paraId="0F8CC9F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自治区贯彻落实加快建设全国统一大市场工作部署部门间联席会议其他成员单位</w:t>
            </w:r>
          </w:p>
        </w:tc>
      </w:tr>
      <w:tr w14:paraId="2056D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A5B07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132</w:t>
            </w:r>
          </w:p>
        </w:tc>
        <w:tc>
          <w:tcPr>
            <w:tcW w:w="988" w:type="dxa"/>
            <w:vMerge w:val="restart"/>
            <w:tcBorders>
              <w:tl2br w:val="nil"/>
              <w:tr2bl w:val="nil"/>
            </w:tcBorders>
            <w:noWrap w:val="0"/>
            <w:tcMar>
              <w:top w:w="28" w:type="dxa"/>
              <w:left w:w="28" w:type="dxa"/>
              <w:bottom w:w="28" w:type="dxa"/>
              <w:right w:w="28" w:type="dxa"/>
            </w:tcMar>
            <w:vAlign w:val="center"/>
          </w:tcPr>
          <w:p w14:paraId="10DC3CA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市场监管</w:t>
            </w:r>
          </w:p>
        </w:tc>
        <w:tc>
          <w:tcPr>
            <w:tcW w:w="2038" w:type="dxa"/>
            <w:tcBorders>
              <w:tl2br w:val="nil"/>
              <w:tr2bl w:val="nil"/>
            </w:tcBorders>
            <w:noWrap w:val="0"/>
            <w:tcMar>
              <w:top w:w="28" w:type="dxa"/>
              <w:left w:w="28" w:type="dxa"/>
              <w:bottom w:w="28" w:type="dxa"/>
              <w:right w:w="28" w:type="dxa"/>
            </w:tcMar>
            <w:vAlign w:val="center"/>
          </w:tcPr>
          <w:p w14:paraId="6C159C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推行“首违免罚”</w:t>
            </w:r>
          </w:p>
        </w:tc>
        <w:tc>
          <w:tcPr>
            <w:tcW w:w="4992" w:type="dxa"/>
            <w:tcBorders>
              <w:tl2br w:val="nil"/>
              <w:tr2bl w:val="nil"/>
            </w:tcBorders>
            <w:noWrap w:val="0"/>
            <w:tcMar>
              <w:top w:w="28" w:type="dxa"/>
              <w:left w:w="28" w:type="dxa"/>
              <w:bottom w:w="28" w:type="dxa"/>
              <w:right w:w="28" w:type="dxa"/>
            </w:tcMar>
            <w:vAlign w:val="center"/>
          </w:tcPr>
          <w:p w14:paraId="5945F00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推行“首违免罚”，探索给予合理的执法“观察期”，优先采取教育提醒、劝导示范、警示告诫、行政提示、行政指导、行政约谈等柔性执法方式。</w:t>
            </w:r>
          </w:p>
        </w:tc>
        <w:tc>
          <w:tcPr>
            <w:tcW w:w="2251" w:type="dxa"/>
            <w:tcBorders>
              <w:tl2br w:val="nil"/>
              <w:tr2bl w:val="nil"/>
            </w:tcBorders>
            <w:noWrap w:val="0"/>
            <w:tcMar>
              <w:top w:w="28" w:type="dxa"/>
              <w:left w:w="28" w:type="dxa"/>
              <w:bottom w:w="28" w:type="dxa"/>
              <w:right w:w="28" w:type="dxa"/>
            </w:tcMar>
            <w:vAlign w:val="center"/>
          </w:tcPr>
          <w:p w14:paraId="18EFE42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自治区市场监管局、司法厅、生态环境厅、交</w:t>
            </w:r>
            <w:r>
              <w:rPr>
                <w:rFonts w:hint="eastAsia" w:ascii="Times New Roman" w:hAnsi="Times New Roman" w:eastAsia="方正书宋_GBK" w:cs="方正书宋_GBK"/>
                <w:i w:val="0"/>
                <w:snapToGrid w:val="0"/>
                <w:color w:val="auto"/>
                <w:spacing w:val="-6"/>
                <w:kern w:val="21"/>
                <w:sz w:val="22"/>
                <w:szCs w:val="22"/>
                <w:u w:val="none"/>
                <w:lang w:val="en-US" w:eastAsia="zh-CN" w:bidi="ar"/>
              </w:rPr>
              <w:t>通运输厅、农业农村厅、</w:t>
            </w:r>
            <w:r>
              <w:rPr>
                <w:rFonts w:hint="eastAsia" w:ascii="Times New Roman" w:hAnsi="Times New Roman" w:eastAsia="方正书宋_GBK" w:cs="方正书宋_GBK"/>
                <w:i w:val="0"/>
                <w:snapToGrid w:val="0"/>
                <w:color w:val="auto"/>
                <w:spacing w:val="0"/>
                <w:kern w:val="21"/>
                <w:sz w:val="22"/>
                <w:szCs w:val="22"/>
                <w:u w:val="none"/>
                <w:lang w:val="en-US" w:eastAsia="zh-CN" w:bidi="ar"/>
              </w:rPr>
              <w:t>文化和旅游厅、应急管理厅、</w:t>
            </w:r>
            <w:r>
              <w:rPr>
                <w:rFonts w:hint="eastAsia" w:eastAsia="方正书宋_GBK" w:cs="方正书宋_GBK"/>
                <w:i w:val="0"/>
                <w:snapToGrid w:val="0"/>
                <w:color w:val="auto"/>
                <w:spacing w:val="0"/>
                <w:kern w:val="21"/>
                <w:sz w:val="22"/>
                <w:szCs w:val="22"/>
                <w:u w:val="none"/>
                <w:lang w:val="en-US" w:eastAsia="zh-CN" w:bidi="ar"/>
              </w:rPr>
              <w:t>住房和城乡建设厅</w:t>
            </w:r>
          </w:p>
        </w:tc>
        <w:tc>
          <w:tcPr>
            <w:tcW w:w="2309" w:type="dxa"/>
            <w:tcBorders>
              <w:tl2br w:val="nil"/>
              <w:tr2bl w:val="nil"/>
            </w:tcBorders>
            <w:noWrap w:val="0"/>
            <w:tcMar>
              <w:top w:w="28" w:type="dxa"/>
              <w:left w:w="28" w:type="dxa"/>
              <w:bottom w:w="28" w:type="dxa"/>
              <w:right w:w="28" w:type="dxa"/>
            </w:tcMar>
            <w:vAlign w:val="center"/>
          </w:tcPr>
          <w:p w14:paraId="72FE87B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C28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5292A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133</w:t>
            </w:r>
          </w:p>
        </w:tc>
        <w:tc>
          <w:tcPr>
            <w:tcW w:w="988" w:type="dxa"/>
            <w:vMerge w:val="continue"/>
            <w:tcBorders>
              <w:tl2br w:val="nil"/>
              <w:tr2bl w:val="nil"/>
            </w:tcBorders>
            <w:noWrap w:val="0"/>
            <w:tcMar>
              <w:top w:w="28" w:type="dxa"/>
              <w:left w:w="28" w:type="dxa"/>
              <w:bottom w:w="28" w:type="dxa"/>
              <w:right w:w="28" w:type="dxa"/>
            </w:tcMar>
            <w:vAlign w:val="center"/>
          </w:tcPr>
          <w:p w14:paraId="361F03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CD2ADA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持续开展“新官不理旧账”整治</w:t>
            </w:r>
          </w:p>
        </w:tc>
        <w:tc>
          <w:tcPr>
            <w:tcW w:w="4992" w:type="dxa"/>
            <w:tcBorders>
              <w:tl2br w:val="nil"/>
              <w:tr2bl w:val="nil"/>
            </w:tcBorders>
            <w:noWrap w:val="0"/>
            <w:tcMar>
              <w:top w:w="28" w:type="dxa"/>
              <w:left w:w="28" w:type="dxa"/>
              <w:bottom w:w="28" w:type="dxa"/>
              <w:right w:w="28" w:type="dxa"/>
            </w:tcMar>
            <w:vAlign w:val="center"/>
          </w:tcPr>
          <w:p w14:paraId="0274A86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推动“新官不理旧账”专项整治取得阶段性成果，解决企业“回款难”和政策兑现难的问题，促进中小微企业发展。对到期债务偿付确实存在困难的，争取协商通过展期、借新还旧等方式予以接续。</w:t>
            </w:r>
          </w:p>
        </w:tc>
        <w:tc>
          <w:tcPr>
            <w:tcW w:w="2251" w:type="dxa"/>
            <w:tcBorders>
              <w:tl2br w:val="nil"/>
              <w:tr2bl w:val="nil"/>
            </w:tcBorders>
            <w:noWrap w:val="0"/>
            <w:tcMar>
              <w:top w:w="28" w:type="dxa"/>
              <w:left w:w="28" w:type="dxa"/>
              <w:bottom w:w="28" w:type="dxa"/>
              <w:right w:w="28" w:type="dxa"/>
            </w:tcMar>
            <w:vAlign w:val="center"/>
          </w:tcPr>
          <w:p w14:paraId="549890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7B5E001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自治区高级法院，自治区发展改革委、工业和信息化厅、财政厅、市场监管局、园区办</w:t>
            </w:r>
          </w:p>
        </w:tc>
      </w:tr>
      <w:tr w14:paraId="7F50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C1C0B1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134</w:t>
            </w:r>
          </w:p>
        </w:tc>
        <w:tc>
          <w:tcPr>
            <w:tcW w:w="988" w:type="dxa"/>
            <w:vMerge w:val="restart"/>
            <w:tcBorders>
              <w:tl2br w:val="nil"/>
              <w:tr2bl w:val="nil"/>
            </w:tcBorders>
            <w:noWrap w:val="0"/>
            <w:tcMar>
              <w:top w:w="28" w:type="dxa"/>
              <w:left w:w="28" w:type="dxa"/>
              <w:bottom w:w="28" w:type="dxa"/>
              <w:right w:w="28" w:type="dxa"/>
            </w:tcMar>
            <w:vAlign w:val="center"/>
          </w:tcPr>
          <w:p w14:paraId="0838987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06E91BD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公证便利度改革</w:t>
            </w:r>
          </w:p>
        </w:tc>
        <w:tc>
          <w:tcPr>
            <w:tcW w:w="4992" w:type="dxa"/>
            <w:tcBorders>
              <w:tl2br w:val="nil"/>
              <w:tr2bl w:val="nil"/>
            </w:tcBorders>
            <w:noWrap w:val="0"/>
            <w:tcMar>
              <w:top w:w="28" w:type="dxa"/>
              <w:left w:w="28" w:type="dxa"/>
              <w:bottom w:w="28" w:type="dxa"/>
              <w:right w:w="28" w:type="dxa"/>
            </w:tcMar>
            <w:vAlign w:val="center"/>
          </w:tcPr>
          <w:p w14:paraId="5FD704D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健全完善公证利企便民制度体系和服务机制，继续推进公证“最多跑一次”事项办理标准化、规范化、便捷化。</w:t>
            </w:r>
          </w:p>
        </w:tc>
        <w:tc>
          <w:tcPr>
            <w:tcW w:w="2251" w:type="dxa"/>
            <w:tcBorders>
              <w:tl2br w:val="nil"/>
              <w:tr2bl w:val="nil"/>
            </w:tcBorders>
            <w:noWrap w:val="0"/>
            <w:tcMar>
              <w:top w:w="28" w:type="dxa"/>
              <w:left w:w="28" w:type="dxa"/>
              <w:bottom w:w="28" w:type="dxa"/>
              <w:right w:w="28" w:type="dxa"/>
            </w:tcMar>
            <w:vAlign w:val="center"/>
          </w:tcPr>
          <w:p w14:paraId="3E171D0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自治区司法厅</w:t>
            </w:r>
          </w:p>
        </w:tc>
        <w:tc>
          <w:tcPr>
            <w:tcW w:w="2309" w:type="dxa"/>
            <w:tcBorders>
              <w:tl2br w:val="nil"/>
              <w:tr2bl w:val="nil"/>
            </w:tcBorders>
            <w:noWrap w:val="0"/>
            <w:tcMar>
              <w:top w:w="28" w:type="dxa"/>
              <w:left w:w="28" w:type="dxa"/>
              <w:bottom w:w="28" w:type="dxa"/>
              <w:right w:w="28" w:type="dxa"/>
            </w:tcMar>
            <w:vAlign w:val="center"/>
          </w:tcPr>
          <w:p w14:paraId="56313B0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F9B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168C8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135</w:t>
            </w:r>
          </w:p>
        </w:tc>
        <w:tc>
          <w:tcPr>
            <w:tcW w:w="988" w:type="dxa"/>
            <w:vMerge w:val="continue"/>
            <w:tcBorders>
              <w:tl2br w:val="nil"/>
              <w:tr2bl w:val="nil"/>
            </w:tcBorders>
            <w:noWrap w:val="0"/>
            <w:tcMar>
              <w:top w:w="28" w:type="dxa"/>
              <w:left w:w="28" w:type="dxa"/>
              <w:bottom w:w="28" w:type="dxa"/>
              <w:right w:w="28" w:type="dxa"/>
            </w:tcMar>
            <w:vAlign w:val="center"/>
          </w:tcPr>
          <w:p w14:paraId="49AA03D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FA3A10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提升全程网办能力</w:t>
            </w:r>
          </w:p>
        </w:tc>
        <w:tc>
          <w:tcPr>
            <w:tcW w:w="4992" w:type="dxa"/>
            <w:tcBorders>
              <w:tl2br w:val="nil"/>
              <w:tr2bl w:val="nil"/>
            </w:tcBorders>
            <w:noWrap w:val="0"/>
            <w:tcMar>
              <w:top w:w="28" w:type="dxa"/>
              <w:left w:w="28" w:type="dxa"/>
              <w:bottom w:w="28" w:type="dxa"/>
              <w:right w:w="28" w:type="dxa"/>
            </w:tcMar>
            <w:vAlign w:val="center"/>
          </w:tcPr>
          <w:p w14:paraId="5C8500E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政务服务事项全程网上可办率超过90%。</w:t>
            </w:r>
          </w:p>
        </w:tc>
        <w:tc>
          <w:tcPr>
            <w:tcW w:w="2251" w:type="dxa"/>
            <w:tcBorders>
              <w:tl2br w:val="nil"/>
              <w:tr2bl w:val="nil"/>
            </w:tcBorders>
            <w:noWrap w:val="0"/>
            <w:tcMar>
              <w:top w:w="28" w:type="dxa"/>
              <w:left w:w="28" w:type="dxa"/>
              <w:bottom w:w="28" w:type="dxa"/>
              <w:right w:w="28" w:type="dxa"/>
            </w:tcMar>
            <w:vAlign w:val="center"/>
          </w:tcPr>
          <w:p w14:paraId="1CA06E6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3FDEB3C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436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547C3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136</w:t>
            </w:r>
          </w:p>
        </w:tc>
        <w:tc>
          <w:tcPr>
            <w:tcW w:w="988" w:type="dxa"/>
            <w:vMerge w:val="continue"/>
            <w:tcBorders>
              <w:tl2br w:val="nil"/>
              <w:tr2bl w:val="nil"/>
            </w:tcBorders>
            <w:noWrap w:val="0"/>
            <w:tcMar>
              <w:top w:w="28" w:type="dxa"/>
              <w:left w:w="28" w:type="dxa"/>
              <w:bottom w:w="28" w:type="dxa"/>
              <w:right w:w="28" w:type="dxa"/>
            </w:tcMar>
            <w:vAlign w:val="center"/>
          </w:tcPr>
          <w:p w14:paraId="259F97B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9D2EC7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深化“互联网</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政务服务”平台功能</w:t>
            </w:r>
          </w:p>
        </w:tc>
        <w:tc>
          <w:tcPr>
            <w:tcW w:w="4992" w:type="dxa"/>
            <w:tcBorders>
              <w:tl2br w:val="nil"/>
              <w:tr2bl w:val="nil"/>
            </w:tcBorders>
            <w:noWrap w:val="0"/>
            <w:tcMar>
              <w:top w:w="28" w:type="dxa"/>
              <w:left w:w="28" w:type="dxa"/>
              <w:bottom w:w="28" w:type="dxa"/>
              <w:right w:w="28" w:type="dxa"/>
            </w:tcMar>
            <w:vAlign w:val="center"/>
          </w:tcPr>
          <w:p w14:paraId="55964A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全面推广广西公安“互联网</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平台，深化公安系统政务服务工作，推动自助一体机户籍、出入境、车管等多项业务合一上线。推进涉林政务服务标准化，完善广西数字政务一体化平台林业政务服务事项实施清单，推动林业政务服务事项实施清单“四级十一同”。</w:t>
            </w:r>
          </w:p>
        </w:tc>
        <w:tc>
          <w:tcPr>
            <w:tcW w:w="2251" w:type="dxa"/>
            <w:tcBorders>
              <w:tl2br w:val="nil"/>
              <w:tr2bl w:val="nil"/>
            </w:tcBorders>
            <w:noWrap w:val="0"/>
            <w:tcMar>
              <w:top w:w="28" w:type="dxa"/>
              <w:left w:w="28" w:type="dxa"/>
              <w:bottom w:w="28" w:type="dxa"/>
              <w:right w:w="28" w:type="dxa"/>
            </w:tcMar>
            <w:vAlign w:val="center"/>
          </w:tcPr>
          <w:p w14:paraId="6D066CF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自治区公安厅、</w:t>
            </w:r>
            <w:r>
              <w:rPr>
                <w:rFonts w:hint="eastAsia" w:eastAsia="方正书宋_GBK" w:cs="方正书宋_GBK"/>
                <w:i w:val="0"/>
                <w:snapToGrid w:val="0"/>
                <w:color w:val="auto"/>
                <w:spacing w:val="0"/>
                <w:kern w:val="21"/>
                <w:sz w:val="22"/>
                <w:szCs w:val="22"/>
                <w:u w:val="none"/>
                <w:lang w:val="en-US" w:eastAsia="zh-CN" w:bidi="ar"/>
              </w:rPr>
              <w:t>林业和草原局</w:t>
            </w:r>
          </w:p>
        </w:tc>
        <w:tc>
          <w:tcPr>
            <w:tcW w:w="2309" w:type="dxa"/>
            <w:tcBorders>
              <w:tl2br w:val="nil"/>
              <w:tr2bl w:val="nil"/>
            </w:tcBorders>
            <w:noWrap w:val="0"/>
            <w:tcMar>
              <w:top w:w="28" w:type="dxa"/>
              <w:left w:w="28" w:type="dxa"/>
              <w:bottom w:w="28" w:type="dxa"/>
              <w:right w:w="28" w:type="dxa"/>
            </w:tcMar>
            <w:vAlign w:val="center"/>
          </w:tcPr>
          <w:p w14:paraId="13F3090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1BE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56B52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137</w:t>
            </w:r>
          </w:p>
        </w:tc>
        <w:tc>
          <w:tcPr>
            <w:tcW w:w="988" w:type="dxa"/>
            <w:vMerge w:val="continue"/>
            <w:tcBorders>
              <w:tl2br w:val="nil"/>
              <w:tr2bl w:val="nil"/>
            </w:tcBorders>
            <w:noWrap w:val="0"/>
            <w:tcMar>
              <w:top w:w="28" w:type="dxa"/>
              <w:left w:w="28" w:type="dxa"/>
              <w:bottom w:w="28" w:type="dxa"/>
              <w:right w:w="28" w:type="dxa"/>
            </w:tcMar>
            <w:vAlign w:val="center"/>
          </w:tcPr>
          <w:p w14:paraId="5D3F86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86E15F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推动全区政务服务“一窗通办”改革</w:t>
            </w:r>
          </w:p>
        </w:tc>
        <w:tc>
          <w:tcPr>
            <w:tcW w:w="4992" w:type="dxa"/>
            <w:tcBorders>
              <w:tl2br w:val="nil"/>
              <w:tr2bl w:val="nil"/>
            </w:tcBorders>
            <w:noWrap w:val="0"/>
            <w:tcMar>
              <w:top w:w="28" w:type="dxa"/>
              <w:left w:w="28" w:type="dxa"/>
              <w:bottom w:w="28" w:type="dxa"/>
              <w:right w:w="28" w:type="dxa"/>
            </w:tcMar>
            <w:vAlign w:val="center"/>
          </w:tcPr>
          <w:p w14:paraId="05F47C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按照“前台综合受理、后台分类审批、综合窗口出件”的形式，以自然人、法人、其他特色专区设置“2</w:t>
            </w:r>
            <w:r>
              <w:rPr>
                <w:rFonts w:hint="eastAsia" w:ascii="仿宋" w:hAnsi="仿宋" w:eastAsia="仿宋" w:cs="仿宋"/>
                <w:i w:val="0"/>
                <w:snapToGrid w:val="0"/>
                <w:color w:val="auto"/>
                <w:spacing w:val="0"/>
                <w:kern w:val="21"/>
                <w:sz w:val="22"/>
                <w:szCs w:val="22"/>
                <w:u w:val="none"/>
                <w:lang w:val="en-US" w:eastAsia="zh-CN" w:bidi="ar"/>
              </w:rPr>
              <w:t>＋</w:t>
            </w:r>
            <w:r>
              <w:rPr>
                <w:rFonts w:hint="eastAsia" w:ascii="Times New Roman" w:hAnsi="Times New Roman" w:eastAsia="方正书宋_GBK" w:cs="方正书宋_GBK"/>
                <w:i w:val="0"/>
                <w:snapToGrid w:val="0"/>
                <w:color w:val="auto"/>
                <w:spacing w:val="0"/>
                <w:kern w:val="21"/>
                <w:sz w:val="22"/>
                <w:szCs w:val="22"/>
                <w:u w:val="none"/>
                <w:lang w:val="en-US" w:eastAsia="zh-CN" w:bidi="ar"/>
              </w:rPr>
              <w:t>X”窗口（“2”即自然人和法人两类窗口，“X”即办不成事反映、异地通办、增值服务等特色办事专区），打造标准化综合受理窗口，实现除特殊事项外，政务服务事项无差别综合受理率达到100%。</w:t>
            </w:r>
          </w:p>
        </w:tc>
        <w:tc>
          <w:tcPr>
            <w:tcW w:w="2251" w:type="dxa"/>
            <w:tcBorders>
              <w:tl2br w:val="nil"/>
              <w:tr2bl w:val="nil"/>
            </w:tcBorders>
            <w:noWrap w:val="0"/>
            <w:tcMar>
              <w:top w:w="28" w:type="dxa"/>
              <w:left w:w="28" w:type="dxa"/>
              <w:bottom w:w="28" w:type="dxa"/>
              <w:right w:w="28" w:type="dxa"/>
            </w:tcMar>
            <w:vAlign w:val="center"/>
          </w:tcPr>
          <w:p w14:paraId="6F2503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6CF5A7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71F8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A0F21D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138</w:t>
            </w:r>
          </w:p>
        </w:tc>
        <w:tc>
          <w:tcPr>
            <w:tcW w:w="988" w:type="dxa"/>
            <w:vMerge w:val="restart"/>
            <w:tcBorders>
              <w:tl2br w:val="nil"/>
              <w:tr2bl w:val="nil"/>
            </w:tcBorders>
            <w:noWrap w:val="0"/>
            <w:tcMar>
              <w:top w:w="28" w:type="dxa"/>
              <w:left w:w="28" w:type="dxa"/>
              <w:bottom w:w="28" w:type="dxa"/>
              <w:right w:w="28" w:type="dxa"/>
            </w:tcMar>
            <w:vAlign w:val="center"/>
          </w:tcPr>
          <w:p w14:paraId="1DBE4EE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43CF36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推进政务服务“帮办代办”改革</w:t>
            </w:r>
          </w:p>
        </w:tc>
        <w:tc>
          <w:tcPr>
            <w:tcW w:w="4992" w:type="dxa"/>
            <w:tcBorders>
              <w:tl2br w:val="nil"/>
              <w:tr2bl w:val="nil"/>
            </w:tcBorders>
            <w:noWrap w:val="0"/>
            <w:tcMar>
              <w:top w:w="28" w:type="dxa"/>
              <w:left w:w="28" w:type="dxa"/>
              <w:bottom w:w="28" w:type="dxa"/>
              <w:right w:w="28" w:type="dxa"/>
            </w:tcMar>
            <w:vAlign w:val="center"/>
          </w:tcPr>
          <w:p w14:paraId="506DC2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依托广西数字政务一体化平台，推动更多政务服务事项实现“线上人工帮办”，通过文字、语音、视频、截图、录音等提供在线交互帮办服务。</w:t>
            </w:r>
          </w:p>
        </w:tc>
        <w:tc>
          <w:tcPr>
            <w:tcW w:w="2251" w:type="dxa"/>
            <w:tcBorders>
              <w:tl2br w:val="nil"/>
              <w:tr2bl w:val="nil"/>
            </w:tcBorders>
            <w:noWrap w:val="0"/>
            <w:tcMar>
              <w:top w:w="28" w:type="dxa"/>
              <w:left w:w="28" w:type="dxa"/>
              <w:bottom w:w="28" w:type="dxa"/>
              <w:right w:w="28" w:type="dxa"/>
            </w:tcMar>
            <w:vAlign w:val="center"/>
          </w:tcPr>
          <w:p w14:paraId="4318D85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0F01C0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620D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71FDC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139</w:t>
            </w:r>
          </w:p>
        </w:tc>
        <w:tc>
          <w:tcPr>
            <w:tcW w:w="988" w:type="dxa"/>
            <w:vMerge w:val="continue"/>
            <w:tcBorders>
              <w:tl2br w:val="nil"/>
              <w:tr2bl w:val="nil"/>
            </w:tcBorders>
            <w:noWrap w:val="0"/>
            <w:tcMar>
              <w:top w:w="28" w:type="dxa"/>
              <w:left w:w="28" w:type="dxa"/>
              <w:bottom w:w="28" w:type="dxa"/>
              <w:right w:w="28" w:type="dxa"/>
            </w:tcMar>
            <w:vAlign w:val="center"/>
          </w:tcPr>
          <w:p w14:paraId="159A7F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1093CF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推动政务服务窗口人员职业考试上岗改革</w:t>
            </w:r>
          </w:p>
        </w:tc>
        <w:tc>
          <w:tcPr>
            <w:tcW w:w="4992" w:type="dxa"/>
            <w:tcBorders>
              <w:tl2br w:val="nil"/>
              <w:tr2bl w:val="nil"/>
            </w:tcBorders>
            <w:noWrap w:val="0"/>
            <w:tcMar>
              <w:top w:w="28" w:type="dxa"/>
              <w:left w:w="28" w:type="dxa"/>
              <w:bottom w:w="28" w:type="dxa"/>
              <w:right w:w="28" w:type="dxa"/>
            </w:tcMar>
            <w:vAlign w:val="center"/>
          </w:tcPr>
          <w:p w14:paraId="79A861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加强政务服务办事员队伍建设，全面推行政务服务窗口办事员职业技术水平鉴定，推动窗口人员取得行政办事员从业资格证，全员持证上岗，并开展等级认定、定岗晋级等工作。</w:t>
            </w:r>
          </w:p>
        </w:tc>
        <w:tc>
          <w:tcPr>
            <w:tcW w:w="2251" w:type="dxa"/>
            <w:tcBorders>
              <w:tl2br w:val="nil"/>
              <w:tr2bl w:val="nil"/>
            </w:tcBorders>
            <w:noWrap w:val="0"/>
            <w:tcMar>
              <w:top w:w="28" w:type="dxa"/>
              <w:left w:w="28" w:type="dxa"/>
              <w:bottom w:w="28" w:type="dxa"/>
              <w:right w:w="28" w:type="dxa"/>
            </w:tcMar>
            <w:vAlign w:val="center"/>
          </w:tcPr>
          <w:p w14:paraId="509FCBC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3D42A8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自治区人力资源社会保障厅，自治区各政务服务职能部门</w:t>
            </w:r>
          </w:p>
        </w:tc>
      </w:tr>
      <w:tr w14:paraId="45B24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9B24EA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140</w:t>
            </w:r>
          </w:p>
        </w:tc>
        <w:tc>
          <w:tcPr>
            <w:tcW w:w="988" w:type="dxa"/>
            <w:vMerge w:val="continue"/>
            <w:tcBorders>
              <w:tl2br w:val="nil"/>
              <w:tr2bl w:val="nil"/>
            </w:tcBorders>
            <w:noWrap w:val="0"/>
            <w:tcMar>
              <w:top w:w="28" w:type="dxa"/>
              <w:left w:w="28" w:type="dxa"/>
              <w:bottom w:w="28" w:type="dxa"/>
              <w:right w:w="28" w:type="dxa"/>
            </w:tcMar>
            <w:vAlign w:val="center"/>
          </w:tcPr>
          <w:p w14:paraId="16C7B6B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8CE09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推动政务服务办事无休日改革</w:t>
            </w:r>
          </w:p>
        </w:tc>
        <w:tc>
          <w:tcPr>
            <w:tcW w:w="4992" w:type="dxa"/>
            <w:tcBorders>
              <w:tl2br w:val="nil"/>
              <w:tr2bl w:val="nil"/>
            </w:tcBorders>
            <w:noWrap w:val="0"/>
            <w:tcMar>
              <w:top w:w="28" w:type="dxa"/>
              <w:left w:w="28" w:type="dxa"/>
              <w:bottom w:w="28" w:type="dxa"/>
              <w:right w:w="28" w:type="dxa"/>
            </w:tcMar>
            <w:vAlign w:val="center"/>
          </w:tcPr>
          <w:p w14:paraId="584125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推行政务服务无休日工作制，推出延时服务、预约服务等贴心政务服务，使申请人可在周末及节假日到政务中心办理，也可通过电话预约或网上预约的方式预约时间线下办理。</w:t>
            </w:r>
          </w:p>
        </w:tc>
        <w:tc>
          <w:tcPr>
            <w:tcW w:w="2251" w:type="dxa"/>
            <w:tcBorders>
              <w:tl2br w:val="nil"/>
              <w:tr2bl w:val="nil"/>
            </w:tcBorders>
            <w:noWrap w:val="0"/>
            <w:tcMar>
              <w:top w:w="28" w:type="dxa"/>
              <w:left w:w="28" w:type="dxa"/>
              <w:bottom w:w="28" w:type="dxa"/>
              <w:right w:w="28" w:type="dxa"/>
            </w:tcMar>
            <w:vAlign w:val="center"/>
          </w:tcPr>
          <w:p w14:paraId="7D040E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545345D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1BF7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4314C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141</w:t>
            </w:r>
          </w:p>
        </w:tc>
        <w:tc>
          <w:tcPr>
            <w:tcW w:w="988" w:type="dxa"/>
            <w:vMerge w:val="continue"/>
            <w:tcBorders>
              <w:tl2br w:val="nil"/>
              <w:tr2bl w:val="nil"/>
            </w:tcBorders>
            <w:noWrap w:val="0"/>
            <w:tcMar>
              <w:top w:w="28" w:type="dxa"/>
              <w:left w:w="28" w:type="dxa"/>
              <w:bottom w:w="28" w:type="dxa"/>
              <w:right w:w="28" w:type="dxa"/>
            </w:tcMar>
            <w:vAlign w:val="center"/>
          </w:tcPr>
          <w:p w14:paraId="786A70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C2EDE7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深化政务服务事项标准化管理</w:t>
            </w:r>
          </w:p>
        </w:tc>
        <w:tc>
          <w:tcPr>
            <w:tcW w:w="4992" w:type="dxa"/>
            <w:tcBorders>
              <w:tl2br w:val="nil"/>
              <w:tr2bl w:val="nil"/>
            </w:tcBorders>
            <w:noWrap w:val="0"/>
            <w:tcMar>
              <w:top w:w="28" w:type="dxa"/>
              <w:left w:w="28" w:type="dxa"/>
              <w:bottom w:w="28" w:type="dxa"/>
              <w:right w:w="28" w:type="dxa"/>
            </w:tcMar>
            <w:vAlign w:val="center"/>
          </w:tcPr>
          <w:p w14:paraId="37E8BA5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制定政务服务事项管理办法，健全依申请政务服务事项标准化归口管理模式，提升政务服务标准化规范化水平。</w:t>
            </w:r>
          </w:p>
        </w:tc>
        <w:tc>
          <w:tcPr>
            <w:tcW w:w="2251" w:type="dxa"/>
            <w:tcBorders>
              <w:tl2br w:val="nil"/>
              <w:tr2bl w:val="nil"/>
            </w:tcBorders>
            <w:noWrap w:val="0"/>
            <w:tcMar>
              <w:top w:w="28" w:type="dxa"/>
              <w:left w:w="28" w:type="dxa"/>
              <w:bottom w:w="28" w:type="dxa"/>
              <w:right w:w="28" w:type="dxa"/>
            </w:tcMar>
            <w:vAlign w:val="center"/>
          </w:tcPr>
          <w:p w14:paraId="5FDD52D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自治区各具有依申请政务服务事项职能的部门</w:t>
            </w:r>
          </w:p>
        </w:tc>
        <w:tc>
          <w:tcPr>
            <w:tcW w:w="2309" w:type="dxa"/>
            <w:tcBorders>
              <w:tl2br w:val="nil"/>
              <w:tr2bl w:val="nil"/>
            </w:tcBorders>
            <w:noWrap w:val="0"/>
            <w:tcMar>
              <w:top w:w="28" w:type="dxa"/>
              <w:left w:w="28" w:type="dxa"/>
              <w:bottom w:w="28" w:type="dxa"/>
              <w:right w:w="28" w:type="dxa"/>
            </w:tcMar>
            <w:vAlign w:val="center"/>
          </w:tcPr>
          <w:p w14:paraId="52C15F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各市、县人民政府，自治区数据局</w:t>
            </w:r>
          </w:p>
        </w:tc>
      </w:tr>
      <w:tr w14:paraId="4C5F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082E6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142</w:t>
            </w:r>
          </w:p>
        </w:tc>
        <w:tc>
          <w:tcPr>
            <w:tcW w:w="988" w:type="dxa"/>
            <w:vMerge w:val="continue"/>
            <w:tcBorders>
              <w:tl2br w:val="nil"/>
              <w:tr2bl w:val="nil"/>
            </w:tcBorders>
            <w:noWrap w:val="0"/>
            <w:tcMar>
              <w:top w:w="28" w:type="dxa"/>
              <w:left w:w="28" w:type="dxa"/>
              <w:bottom w:w="28" w:type="dxa"/>
              <w:right w:w="28" w:type="dxa"/>
            </w:tcMar>
            <w:vAlign w:val="center"/>
          </w:tcPr>
          <w:p w14:paraId="39E542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62A89D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实行行政备案规范化便利化管理</w:t>
            </w:r>
          </w:p>
        </w:tc>
        <w:tc>
          <w:tcPr>
            <w:tcW w:w="4992" w:type="dxa"/>
            <w:tcBorders>
              <w:tl2br w:val="nil"/>
              <w:tr2bl w:val="nil"/>
            </w:tcBorders>
            <w:noWrap w:val="0"/>
            <w:tcMar>
              <w:top w:w="28" w:type="dxa"/>
              <w:left w:w="28" w:type="dxa"/>
              <w:bottom w:w="28" w:type="dxa"/>
              <w:right w:w="28" w:type="dxa"/>
            </w:tcMar>
            <w:vAlign w:val="center"/>
          </w:tcPr>
          <w:p w14:paraId="472A90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总结行政备案规范化便利化管理改革试点经验，在全区全面推行行政备案规范化管理，编制全区行政备案事项清单，优化行政备案办理流程，加大行政备案运行监督检查力度。</w:t>
            </w:r>
          </w:p>
        </w:tc>
        <w:tc>
          <w:tcPr>
            <w:tcW w:w="2251" w:type="dxa"/>
            <w:tcBorders>
              <w:tl2br w:val="nil"/>
              <w:tr2bl w:val="nil"/>
            </w:tcBorders>
            <w:noWrap w:val="0"/>
            <w:tcMar>
              <w:top w:w="28" w:type="dxa"/>
              <w:left w:w="28" w:type="dxa"/>
              <w:bottom w:w="28" w:type="dxa"/>
              <w:right w:w="28" w:type="dxa"/>
            </w:tcMar>
            <w:vAlign w:val="center"/>
          </w:tcPr>
          <w:p w14:paraId="0D18499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6154F63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自治区各具有行政备案职能的部门，各市、县人民政府</w:t>
            </w:r>
          </w:p>
        </w:tc>
      </w:tr>
      <w:tr w14:paraId="1FD97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7709E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143</w:t>
            </w:r>
          </w:p>
        </w:tc>
        <w:tc>
          <w:tcPr>
            <w:tcW w:w="988" w:type="dxa"/>
            <w:vMerge w:val="continue"/>
            <w:tcBorders>
              <w:tl2br w:val="nil"/>
              <w:tr2bl w:val="nil"/>
            </w:tcBorders>
            <w:noWrap w:val="0"/>
            <w:tcMar>
              <w:top w:w="28" w:type="dxa"/>
              <w:left w:w="28" w:type="dxa"/>
              <w:bottom w:w="28" w:type="dxa"/>
              <w:right w:w="28" w:type="dxa"/>
            </w:tcMar>
            <w:vAlign w:val="center"/>
          </w:tcPr>
          <w:p w14:paraId="091A34C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0DC34C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推出更多便利化改革</w:t>
            </w:r>
          </w:p>
        </w:tc>
        <w:tc>
          <w:tcPr>
            <w:tcW w:w="4992" w:type="dxa"/>
            <w:tcBorders>
              <w:tl2br w:val="nil"/>
              <w:tr2bl w:val="nil"/>
            </w:tcBorders>
            <w:noWrap w:val="0"/>
            <w:tcMar>
              <w:top w:w="28" w:type="dxa"/>
              <w:left w:w="28" w:type="dxa"/>
              <w:bottom w:w="28" w:type="dxa"/>
              <w:right w:w="28" w:type="dxa"/>
            </w:tcMar>
            <w:vAlign w:val="center"/>
          </w:tcPr>
          <w:p w14:paraId="3AC8CA4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围绕企业准入准营、经营发展、注销退出等流程，将关联事项集成办理，推出一批“高效办成一件事”重点事项清单。拓展深化“智慧办”，建设完善人脸库，扩大政务服务“刷脸核验免证办”和“远程办”（不见面审批）范围。</w:t>
            </w:r>
          </w:p>
        </w:tc>
        <w:tc>
          <w:tcPr>
            <w:tcW w:w="2251" w:type="dxa"/>
            <w:tcBorders>
              <w:tl2br w:val="nil"/>
              <w:tr2bl w:val="nil"/>
            </w:tcBorders>
            <w:noWrap w:val="0"/>
            <w:tcMar>
              <w:top w:w="28" w:type="dxa"/>
              <w:left w:w="28" w:type="dxa"/>
              <w:bottom w:w="28" w:type="dxa"/>
              <w:right w:w="28" w:type="dxa"/>
            </w:tcMar>
            <w:vAlign w:val="center"/>
          </w:tcPr>
          <w:p w14:paraId="182534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0A97CA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r>
      <w:tr w14:paraId="3F283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50383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144</w:t>
            </w:r>
          </w:p>
        </w:tc>
        <w:tc>
          <w:tcPr>
            <w:tcW w:w="988" w:type="dxa"/>
            <w:vMerge w:val="continue"/>
            <w:tcBorders>
              <w:tl2br w:val="nil"/>
              <w:tr2bl w:val="nil"/>
            </w:tcBorders>
            <w:noWrap w:val="0"/>
            <w:tcMar>
              <w:top w:w="28" w:type="dxa"/>
              <w:left w:w="28" w:type="dxa"/>
              <w:bottom w:w="28" w:type="dxa"/>
              <w:right w:w="28" w:type="dxa"/>
            </w:tcMar>
            <w:vAlign w:val="center"/>
          </w:tcPr>
          <w:p w14:paraId="2253828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DB6F4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推进政务服务事项“一号快办”</w:t>
            </w:r>
          </w:p>
        </w:tc>
        <w:tc>
          <w:tcPr>
            <w:tcW w:w="4992" w:type="dxa"/>
            <w:tcBorders>
              <w:tl2br w:val="nil"/>
              <w:tr2bl w:val="nil"/>
            </w:tcBorders>
            <w:noWrap w:val="0"/>
            <w:tcMar>
              <w:top w:w="28" w:type="dxa"/>
              <w:left w:w="28" w:type="dxa"/>
              <w:bottom w:w="28" w:type="dxa"/>
              <w:right w:w="28" w:type="dxa"/>
            </w:tcMar>
            <w:vAlign w:val="center"/>
          </w:tcPr>
          <w:p w14:paraId="39736CC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进一步推进政务服务事项“一号快办”，实现更多政务服务事项纳入“一号快办”实施范围。</w:t>
            </w:r>
          </w:p>
        </w:tc>
        <w:tc>
          <w:tcPr>
            <w:tcW w:w="2251" w:type="dxa"/>
            <w:tcBorders>
              <w:tl2br w:val="nil"/>
              <w:tr2bl w:val="nil"/>
            </w:tcBorders>
            <w:noWrap w:val="0"/>
            <w:tcMar>
              <w:top w:w="28" w:type="dxa"/>
              <w:left w:w="28" w:type="dxa"/>
              <w:bottom w:w="28" w:type="dxa"/>
              <w:right w:w="28" w:type="dxa"/>
            </w:tcMar>
            <w:vAlign w:val="center"/>
          </w:tcPr>
          <w:p w14:paraId="11DD603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317224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自治区各政务服务职能部门</w:t>
            </w:r>
          </w:p>
        </w:tc>
      </w:tr>
      <w:tr w14:paraId="62EE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4C3B56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145</w:t>
            </w:r>
          </w:p>
        </w:tc>
        <w:tc>
          <w:tcPr>
            <w:tcW w:w="988" w:type="dxa"/>
            <w:vMerge w:val="restart"/>
            <w:tcBorders>
              <w:tl2br w:val="nil"/>
              <w:tr2bl w:val="nil"/>
            </w:tcBorders>
            <w:noWrap w:val="0"/>
            <w:tcMar>
              <w:top w:w="28" w:type="dxa"/>
              <w:left w:w="28" w:type="dxa"/>
              <w:bottom w:w="28" w:type="dxa"/>
              <w:right w:w="28" w:type="dxa"/>
            </w:tcMar>
            <w:vAlign w:val="center"/>
          </w:tcPr>
          <w:p w14:paraId="3D7E7FF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6E1CE17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加快推进全区统一电子印章公共服务平台建设</w:t>
            </w:r>
          </w:p>
        </w:tc>
        <w:tc>
          <w:tcPr>
            <w:tcW w:w="4992" w:type="dxa"/>
            <w:tcBorders>
              <w:tl2br w:val="nil"/>
              <w:tr2bl w:val="nil"/>
            </w:tcBorders>
            <w:noWrap w:val="0"/>
            <w:tcMar>
              <w:top w:w="28" w:type="dxa"/>
              <w:left w:w="28" w:type="dxa"/>
              <w:bottom w:w="28" w:type="dxa"/>
              <w:right w:w="28" w:type="dxa"/>
            </w:tcMar>
            <w:vAlign w:val="center"/>
          </w:tcPr>
          <w:p w14:paraId="32B8D81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强化统一服务管理支撑，进一步推动电子印章在企业开办、社会保险、医疗卫生、住房保障、公共教育、劳动就业、金融保险、文化旅游、水电气等有关领域场景的普及应用。</w:t>
            </w:r>
          </w:p>
        </w:tc>
        <w:tc>
          <w:tcPr>
            <w:tcW w:w="2251" w:type="dxa"/>
            <w:tcBorders>
              <w:tl2br w:val="nil"/>
              <w:tr2bl w:val="nil"/>
            </w:tcBorders>
            <w:noWrap w:val="0"/>
            <w:tcMar>
              <w:top w:w="28" w:type="dxa"/>
              <w:left w:w="28" w:type="dxa"/>
              <w:bottom w:w="28" w:type="dxa"/>
              <w:right w:w="28" w:type="dxa"/>
            </w:tcMar>
            <w:vAlign w:val="center"/>
          </w:tcPr>
          <w:p w14:paraId="03CA3B9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031BBE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自治区各具有依申请政务服务事项职能的相关部门</w:t>
            </w:r>
          </w:p>
        </w:tc>
      </w:tr>
      <w:tr w14:paraId="7C55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5A31A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146</w:t>
            </w:r>
          </w:p>
        </w:tc>
        <w:tc>
          <w:tcPr>
            <w:tcW w:w="988" w:type="dxa"/>
            <w:vMerge w:val="continue"/>
            <w:tcBorders>
              <w:tl2br w:val="nil"/>
              <w:tr2bl w:val="nil"/>
            </w:tcBorders>
            <w:noWrap w:val="0"/>
            <w:tcMar>
              <w:top w:w="28" w:type="dxa"/>
              <w:left w:w="28" w:type="dxa"/>
              <w:bottom w:w="28" w:type="dxa"/>
              <w:right w:w="28" w:type="dxa"/>
            </w:tcMar>
            <w:vAlign w:val="center"/>
          </w:tcPr>
          <w:p w14:paraId="669222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576455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深化各类惠民惠企政策“免申即办”</w:t>
            </w:r>
          </w:p>
        </w:tc>
        <w:tc>
          <w:tcPr>
            <w:tcW w:w="4992" w:type="dxa"/>
            <w:tcBorders>
              <w:tl2br w:val="nil"/>
              <w:tr2bl w:val="nil"/>
            </w:tcBorders>
            <w:noWrap w:val="0"/>
            <w:tcMar>
              <w:top w:w="28" w:type="dxa"/>
              <w:left w:w="28" w:type="dxa"/>
              <w:bottom w:w="28" w:type="dxa"/>
              <w:right w:w="28" w:type="dxa"/>
            </w:tcMar>
            <w:vAlign w:val="center"/>
          </w:tcPr>
          <w:p w14:paraId="002BA36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扩大各类惠民惠企政策“免申即办”覆盖面，大力提升政策汇聚、兑现数量，通过优化政策兑付流程，实现政策申报材料“零提交”、政府“零审批”、申请“秒兑现”。</w:t>
            </w:r>
          </w:p>
        </w:tc>
        <w:tc>
          <w:tcPr>
            <w:tcW w:w="2251" w:type="dxa"/>
            <w:tcBorders>
              <w:tl2br w:val="nil"/>
              <w:tr2bl w:val="nil"/>
            </w:tcBorders>
            <w:noWrap w:val="0"/>
            <w:tcMar>
              <w:top w:w="28" w:type="dxa"/>
              <w:left w:w="28" w:type="dxa"/>
              <w:bottom w:w="28" w:type="dxa"/>
              <w:right w:w="28" w:type="dxa"/>
            </w:tcMar>
            <w:vAlign w:val="center"/>
          </w:tcPr>
          <w:p w14:paraId="1650C7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自治区财政厅、数据局，各市、县人民政府</w:t>
            </w:r>
          </w:p>
        </w:tc>
        <w:tc>
          <w:tcPr>
            <w:tcW w:w="2309" w:type="dxa"/>
            <w:tcBorders>
              <w:tl2br w:val="nil"/>
              <w:tr2bl w:val="nil"/>
            </w:tcBorders>
            <w:noWrap w:val="0"/>
            <w:tcMar>
              <w:top w:w="28" w:type="dxa"/>
              <w:left w:w="28" w:type="dxa"/>
              <w:bottom w:w="28" w:type="dxa"/>
              <w:right w:w="28" w:type="dxa"/>
            </w:tcMar>
            <w:vAlign w:val="center"/>
          </w:tcPr>
          <w:p w14:paraId="2505E2E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自治区各涉企职能部门</w:t>
            </w:r>
          </w:p>
        </w:tc>
      </w:tr>
      <w:tr w14:paraId="3CCE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19805D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147</w:t>
            </w:r>
          </w:p>
        </w:tc>
        <w:tc>
          <w:tcPr>
            <w:tcW w:w="988" w:type="dxa"/>
            <w:vMerge w:val="continue"/>
            <w:tcBorders>
              <w:tl2br w:val="nil"/>
              <w:tr2bl w:val="nil"/>
            </w:tcBorders>
            <w:noWrap w:val="0"/>
            <w:tcMar>
              <w:top w:w="28" w:type="dxa"/>
              <w:left w:w="28" w:type="dxa"/>
              <w:bottom w:w="28" w:type="dxa"/>
              <w:right w:w="28" w:type="dxa"/>
            </w:tcMar>
            <w:vAlign w:val="center"/>
          </w:tcPr>
          <w:p w14:paraId="462359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34086B0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加大政策创新和兑现力度</w:t>
            </w:r>
          </w:p>
        </w:tc>
        <w:tc>
          <w:tcPr>
            <w:tcW w:w="4992" w:type="dxa"/>
            <w:tcBorders>
              <w:tl2br w:val="nil"/>
              <w:tr2bl w:val="nil"/>
            </w:tcBorders>
            <w:noWrap w:val="0"/>
            <w:tcMar>
              <w:top w:w="28" w:type="dxa"/>
              <w:left w:w="28" w:type="dxa"/>
              <w:bottom w:w="28" w:type="dxa"/>
              <w:right w:w="28" w:type="dxa"/>
            </w:tcMar>
            <w:vAlign w:val="center"/>
          </w:tcPr>
          <w:p w14:paraId="09AD3A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深入企业开展调研，坚持问需于企、倾听诉求，深入了解企业的“急难愁盼”，找准靶点，加大政策创新和兑现力度，让企业享受更多政策红利。</w:t>
            </w:r>
          </w:p>
        </w:tc>
        <w:tc>
          <w:tcPr>
            <w:tcW w:w="2251" w:type="dxa"/>
            <w:tcBorders>
              <w:tl2br w:val="nil"/>
              <w:tr2bl w:val="nil"/>
            </w:tcBorders>
            <w:noWrap w:val="0"/>
            <w:tcMar>
              <w:top w:w="28" w:type="dxa"/>
              <w:left w:w="28" w:type="dxa"/>
              <w:bottom w:w="28" w:type="dxa"/>
              <w:right w:w="28" w:type="dxa"/>
            </w:tcMar>
            <w:vAlign w:val="center"/>
          </w:tcPr>
          <w:p w14:paraId="4745BB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6"/>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36EE16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AF5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F3DCB7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148</w:t>
            </w:r>
          </w:p>
        </w:tc>
        <w:tc>
          <w:tcPr>
            <w:tcW w:w="988" w:type="dxa"/>
            <w:vMerge w:val="continue"/>
            <w:tcBorders>
              <w:tl2br w:val="nil"/>
              <w:tr2bl w:val="nil"/>
            </w:tcBorders>
            <w:noWrap w:val="0"/>
            <w:tcMar>
              <w:top w:w="28" w:type="dxa"/>
              <w:left w:w="28" w:type="dxa"/>
              <w:bottom w:w="28" w:type="dxa"/>
              <w:right w:w="28" w:type="dxa"/>
            </w:tcMar>
            <w:vAlign w:val="center"/>
          </w:tcPr>
          <w:p w14:paraId="22D530E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6D1194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加强政策宣传解读</w:t>
            </w:r>
          </w:p>
        </w:tc>
        <w:tc>
          <w:tcPr>
            <w:tcW w:w="4992" w:type="dxa"/>
            <w:tcBorders>
              <w:tl2br w:val="nil"/>
              <w:tr2bl w:val="nil"/>
            </w:tcBorders>
            <w:noWrap w:val="0"/>
            <w:tcMar>
              <w:top w:w="28" w:type="dxa"/>
              <w:left w:w="28" w:type="dxa"/>
              <w:bottom w:w="28" w:type="dxa"/>
              <w:right w:w="28" w:type="dxa"/>
            </w:tcMar>
            <w:vAlign w:val="center"/>
          </w:tcPr>
          <w:p w14:paraId="348613C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加强对民营企业的政策宣传和解读，提高民营企业的政策知晓度和解读能力，让企业及时享受到政策优惠。会同各类商协会，积极面向各类企业开展热点政策专题解读系列活动。</w:t>
            </w:r>
          </w:p>
        </w:tc>
        <w:tc>
          <w:tcPr>
            <w:tcW w:w="2251" w:type="dxa"/>
            <w:tcBorders>
              <w:tl2br w:val="nil"/>
              <w:tr2bl w:val="nil"/>
            </w:tcBorders>
            <w:noWrap w:val="0"/>
            <w:tcMar>
              <w:top w:w="28" w:type="dxa"/>
              <w:left w:w="28" w:type="dxa"/>
              <w:bottom w:w="28" w:type="dxa"/>
              <w:right w:w="28" w:type="dxa"/>
            </w:tcMar>
            <w:vAlign w:val="center"/>
          </w:tcPr>
          <w:p w14:paraId="1F3BE8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6"/>
                <w:kern w:val="21"/>
                <w:sz w:val="22"/>
                <w:szCs w:val="22"/>
                <w:u w:val="none"/>
              </w:rPr>
            </w:pPr>
            <w:r>
              <w:rPr>
                <w:rFonts w:hint="eastAsia" w:ascii="Times New Roman" w:hAnsi="Times New Roman" w:eastAsia="方正书宋_GBK" w:cs="方正书宋_GBK"/>
                <w:i w:val="0"/>
                <w:snapToGrid w:val="0"/>
                <w:color w:val="auto"/>
                <w:spacing w:val="-6"/>
                <w:kern w:val="21"/>
                <w:sz w:val="22"/>
                <w:szCs w:val="22"/>
                <w:u w:val="none"/>
                <w:lang w:val="en-US" w:eastAsia="zh-CN" w:bidi="ar"/>
              </w:rPr>
              <w:t>自治区各行业主管部门</w:t>
            </w:r>
          </w:p>
        </w:tc>
        <w:tc>
          <w:tcPr>
            <w:tcW w:w="2309" w:type="dxa"/>
            <w:tcBorders>
              <w:tl2br w:val="nil"/>
              <w:tr2bl w:val="nil"/>
            </w:tcBorders>
            <w:noWrap w:val="0"/>
            <w:tcMar>
              <w:top w:w="28" w:type="dxa"/>
              <w:left w:w="28" w:type="dxa"/>
              <w:bottom w:w="28" w:type="dxa"/>
              <w:right w:w="28" w:type="dxa"/>
            </w:tcMar>
            <w:vAlign w:val="center"/>
          </w:tcPr>
          <w:p w14:paraId="1705A54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76D6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6C859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149</w:t>
            </w:r>
          </w:p>
        </w:tc>
        <w:tc>
          <w:tcPr>
            <w:tcW w:w="988" w:type="dxa"/>
            <w:vMerge w:val="continue"/>
            <w:tcBorders>
              <w:tl2br w:val="nil"/>
              <w:tr2bl w:val="nil"/>
            </w:tcBorders>
            <w:noWrap w:val="0"/>
            <w:tcMar>
              <w:top w:w="28" w:type="dxa"/>
              <w:left w:w="28" w:type="dxa"/>
              <w:bottom w:w="28" w:type="dxa"/>
              <w:right w:w="28" w:type="dxa"/>
            </w:tcMar>
            <w:vAlign w:val="center"/>
          </w:tcPr>
          <w:p w14:paraId="1752068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E01F3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优化境外银行卡受理环境</w:t>
            </w:r>
          </w:p>
        </w:tc>
        <w:tc>
          <w:tcPr>
            <w:tcW w:w="4992" w:type="dxa"/>
            <w:tcBorders>
              <w:tl2br w:val="nil"/>
              <w:tr2bl w:val="nil"/>
            </w:tcBorders>
            <w:noWrap w:val="0"/>
            <w:tcMar>
              <w:top w:w="28" w:type="dxa"/>
              <w:left w:w="28" w:type="dxa"/>
              <w:bottom w:w="28" w:type="dxa"/>
              <w:right w:w="28" w:type="dxa"/>
            </w:tcMar>
            <w:vAlign w:val="center"/>
          </w:tcPr>
          <w:p w14:paraId="0D22BFC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推动重点商圈、重点商户受理境外银行卡，扩大受理覆盖面。</w:t>
            </w:r>
          </w:p>
        </w:tc>
        <w:tc>
          <w:tcPr>
            <w:tcW w:w="2251" w:type="dxa"/>
            <w:tcBorders>
              <w:tl2br w:val="nil"/>
              <w:tr2bl w:val="nil"/>
            </w:tcBorders>
            <w:noWrap w:val="0"/>
            <w:tcMar>
              <w:top w:w="28" w:type="dxa"/>
              <w:left w:w="28" w:type="dxa"/>
              <w:bottom w:w="28" w:type="dxa"/>
              <w:right w:w="28" w:type="dxa"/>
            </w:tcMar>
            <w:vAlign w:val="center"/>
          </w:tcPr>
          <w:p w14:paraId="112A54F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0A677F2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7038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8ED661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150</w:t>
            </w:r>
          </w:p>
        </w:tc>
        <w:tc>
          <w:tcPr>
            <w:tcW w:w="988" w:type="dxa"/>
            <w:vMerge w:val="continue"/>
            <w:tcBorders>
              <w:tl2br w:val="nil"/>
              <w:tr2bl w:val="nil"/>
            </w:tcBorders>
            <w:noWrap w:val="0"/>
            <w:tcMar>
              <w:top w:w="28" w:type="dxa"/>
              <w:left w:w="28" w:type="dxa"/>
              <w:bottom w:w="28" w:type="dxa"/>
              <w:right w:w="28" w:type="dxa"/>
            </w:tcMar>
            <w:vAlign w:val="center"/>
          </w:tcPr>
          <w:p w14:paraId="623036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6C51BF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提升移动支付便捷度</w:t>
            </w:r>
          </w:p>
        </w:tc>
        <w:tc>
          <w:tcPr>
            <w:tcW w:w="4992" w:type="dxa"/>
            <w:tcBorders>
              <w:tl2br w:val="nil"/>
              <w:tr2bl w:val="nil"/>
            </w:tcBorders>
            <w:noWrap w:val="0"/>
            <w:tcMar>
              <w:top w:w="28" w:type="dxa"/>
              <w:left w:w="28" w:type="dxa"/>
              <w:bottom w:w="28" w:type="dxa"/>
              <w:right w:w="28" w:type="dxa"/>
            </w:tcMar>
            <w:vAlign w:val="center"/>
          </w:tcPr>
          <w:p w14:paraId="0782552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做好外籍来桂人员通讯服务，优化外籍来桂人员境内手机号码办理流程，为外籍来桂人员提供良好的国际漫游服务。加快完善移动支付产品与服务的应用功能、使用流程等，确保相关产品和服务好用，老年人能用、会用。</w:t>
            </w:r>
          </w:p>
        </w:tc>
        <w:tc>
          <w:tcPr>
            <w:tcW w:w="2251" w:type="dxa"/>
            <w:tcBorders>
              <w:tl2br w:val="nil"/>
              <w:tr2bl w:val="nil"/>
            </w:tcBorders>
            <w:noWrap w:val="0"/>
            <w:tcMar>
              <w:top w:w="28" w:type="dxa"/>
              <w:left w:w="28" w:type="dxa"/>
              <w:bottom w:w="28" w:type="dxa"/>
              <w:right w:w="28" w:type="dxa"/>
            </w:tcMar>
            <w:vAlign w:val="center"/>
          </w:tcPr>
          <w:p w14:paraId="3F011D9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2B35C37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自治区工业和信息化厅，各市、县人民政府</w:t>
            </w:r>
          </w:p>
        </w:tc>
      </w:tr>
      <w:tr w14:paraId="1514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11EC8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151</w:t>
            </w:r>
          </w:p>
        </w:tc>
        <w:tc>
          <w:tcPr>
            <w:tcW w:w="988" w:type="dxa"/>
            <w:vMerge w:val="continue"/>
            <w:tcBorders>
              <w:tl2br w:val="nil"/>
              <w:tr2bl w:val="nil"/>
            </w:tcBorders>
            <w:noWrap w:val="0"/>
            <w:tcMar>
              <w:top w:w="28" w:type="dxa"/>
              <w:left w:w="28" w:type="dxa"/>
              <w:bottom w:w="28" w:type="dxa"/>
              <w:right w:w="28" w:type="dxa"/>
            </w:tcMar>
            <w:vAlign w:val="center"/>
          </w:tcPr>
          <w:p w14:paraId="6FF5A7F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A7C1E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持续改善现金使用环境</w:t>
            </w:r>
          </w:p>
        </w:tc>
        <w:tc>
          <w:tcPr>
            <w:tcW w:w="4992" w:type="dxa"/>
            <w:tcBorders>
              <w:tl2br w:val="nil"/>
              <w:tr2bl w:val="nil"/>
            </w:tcBorders>
            <w:noWrap w:val="0"/>
            <w:tcMar>
              <w:top w:w="28" w:type="dxa"/>
              <w:left w:w="28" w:type="dxa"/>
              <w:bottom w:w="28" w:type="dxa"/>
              <w:right w:w="28" w:type="dxa"/>
            </w:tcMar>
            <w:vAlign w:val="center"/>
          </w:tcPr>
          <w:p w14:paraId="127F831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持续开展ATM银行卡受理改造，支持老年人、外籍来桂人员等群体使用境内外银行卡支取人民币现金。</w:t>
            </w:r>
          </w:p>
        </w:tc>
        <w:tc>
          <w:tcPr>
            <w:tcW w:w="2251" w:type="dxa"/>
            <w:tcBorders>
              <w:tl2br w:val="nil"/>
              <w:tr2bl w:val="nil"/>
            </w:tcBorders>
            <w:noWrap w:val="0"/>
            <w:tcMar>
              <w:top w:w="28" w:type="dxa"/>
              <w:left w:w="28" w:type="dxa"/>
              <w:bottom w:w="28" w:type="dxa"/>
              <w:right w:w="28" w:type="dxa"/>
            </w:tcMar>
            <w:vAlign w:val="center"/>
          </w:tcPr>
          <w:p w14:paraId="4C3D1B2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70CEE5B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国家金融监督管理总局广西监管局，各市、县人民政府</w:t>
            </w:r>
          </w:p>
        </w:tc>
      </w:tr>
      <w:tr w14:paraId="3944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518" w:type="dxa"/>
            <w:tcBorders>
              <w:tl2br w:val="nil"/>
              <w:tr2bl w:val="nil"/>
            </w:tcBorders>
            <w:noWrap w:val="0"/>
            <w:tcMar>
              <w:top w:w="28" w:type="dxa"/>
              <w:left w:w="28" w:type="dxa"/>
              <w:bottom w:w="28" w:type="dxa"/>
              <w:right w:w="28" w:type="dxa"/>
            </w:tcMar>
            <w:vAlign w:val="center"/>
          </w:tcPr>
          <w:p w14:paraId="28EFC3E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152</w:t>
            </w:r>
          </w:p>
        </w:tc>
        <w:tc>
          <w:tcPr>
            <w:tcW w:w="988" w:type="dxa"/>
            <w:vMerge w:val="restart"/>
            <w:tcBorders>
              <w:tl2br w:val="nil"/>
              <w:tr2bl w:val="nil"/>
            </w:tcBorders>
            <w:noWrap w:val="0"/>
            <w:tcMar>
              <w:top w:w="28" w:type="dxa"/>
              <w:left w:w="28" w:type="dxa"/>
              <w:bottom w:w="28" w:type="dxa"/>
              <w:right w:w="28" w:type="dxa"/>
            </w:tcMar>
            <w:vAlign w:val="center"/>
          </w:tcPr>
          <w:p w14:paraId="37E1D36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政务服务</w:t>
            </w:r>
          </w:p>
        </w:tc>
        <w:tc>
          <w:tcPr>
            <w:tcW w:w="2038" w:type="dxa"/>
            <w:tcBorders>
              <w:tl2br w:val="nil"/>
              <w:tr2bl w:val="nil"/>
            </w:tcBorders>
            <w:noWrap w:val="0"/>
            <w:tcMar>
              <w:top w:w="28" w:type="dxa"/>
              <w:left w:w="28" w:type="dxa"/>
              <w:bottom w:w="28" w:type="dxa"/>
              <w:right w:w="28" w:type="dxa"/>
            </w:tcMar>
            <w:vAlign w:val="center"/>
          </w:tcPr>
          <w:p w14:paraId="304BBC8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提升银行账户服务质效</w:t>
            </w:r>
          </w:p>
        </w:tc>
        <w:tc>
          <w:tcPr>
            <w:tcW w:w="4992" w:type="dxa"/>
            <w:tcBorders>
              <w:tl2br w:val="nil"/>
              <w:tr2bl w:val="nil"/>
            </w:tcBorders>
            <w:noWrap w:val="0"/>
            <w:tcMar>
              <w:top w:w="28" w:type="dxa"/>
              <w:left w:w="28" w:type="dxa"/>
              <w:bottom w:w="28" w:type="dxa"/>
              <w:right w:w="28" w:type="dxa"/>
            </w:tcMar>
            <w:vAlign w:val="center"/>
          </w:tcPr>
          <w:p w14:paraId="761CAB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为老年人、外籍来桂人员提供简易开户服务，优化开户流程。</w:t>
            </w:r>
          </w:p>
        </w:tc>
        <w:tc>
          <w:tcPr>
            <w:tcW w:w="2251" w:type="dxa"/>
            <w:tcBorders>
              <w:tl2br w:val="nil"/>
              <w:tr2bl w:val="nil"/>
            </w:tcBorders>
            <w:noWrap w:val="0"/>
            <w:tcMar>
              <w:top w:w="28" w:type="dxa"/>
              <w:left w:w="28" w:type="dxa"/>
              <w:bottom w:w="28" w:type="dxa"/>
              <w:right w:w="28" w:type="dxa"/>
            </w:tcMar>
            <w:vAlign w:val="center"/>
          </w:tcPr>
          <w:p w14:paraId="194D738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786819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国家金融监督管理总局广西监管局，百色、防城港、崇左市人民政府</w:t>
            </w:r>
          </w:p>
        </w:tc>
      </w:tr>
      <w:tr w14:paraId="654E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518" w:type="dxa"/>
            <w:tcBorders>
              <w:tl2br w:val="nil"/>
              <w:tr2bl w:val="nil"/>
            </w:tcBorders>
            <w:noWrap w:val="0"/>
            <w:tcMar>
              <w:top w:w="28" w:type="dxa"/>
              <w:left w:w="28" w:type="dxa"/>
              <w:bottom w:w="28" w:type="dxa"/>
              <w:right w:w="28" w:type="dxa"/>
            </w:tcMar>
            <w:vAlign w:val="center"/>
          </w:tcPr>
          <w:p w14:paraId="560FE9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153</w:t>
            </w:r>
          </w:p>
        </w:tc>
        <w:tc>
          <w:tcPr>
            <w:tcW w:w="988" w:type="dxa"/>
            <w:vMerge w:val="continue"/>
            <w:tcBorders>
              <w:tl2br w:val="nil"/>
              <w:tr2bl w:val="nil"/>
            </w:tcBorders>
            <w:noWrap w:val="0"/>
            <w:tcMar>
              <w:top w:w="28" w:type="dxa"/>
              <w:left w:w="28" w:type="dxa"/>
              <w:bottom w:w="28" w:type="dxa"/>
              <w:right w:w="28" w:type="dxa"/>
            </w:tcMar>
            <w:vAlign w:val="center"/>
          </w:tcPr>
          <w:p w14:paraId="1779B6F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875445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完善数字人民币服务体系</w:t>
            </w:r>
          </w:p>
        </w:tc>
        <w:tc>
          <w:tcPr>
            <w:tcW w:w="4992" w:type="dxa"/>
            <w:tcBorders>
              <w:tl2br w:val="nil"/>
              <w:tr2bl w:val="nil"/>
            </w:tcBorders>
            <w:noWrap w:val="0"/>
            <w:tcMar>
              <w:top w:w="28" w:type="dxa"/>
              <w:left w:w="28" w:type="dxa"/>
              <w:bottom w:w="28" w:type="dxa"/>
              <w:right w:w="28" w:type="dxa"/>
            </w:tcMar>
            <w:vAlign w:val="center"/>
          </w:tcPr>
          <w:p w14:paraId="6E49A9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探索数字人民币便利外籍来桂人员使用路径，提升数字人民币本外币兑换水平。</w:t>
            </w:r>
          </w:p>
        </w:tc>
        <w:tc>
          <w:tcPr>
            <w:tcW w:w="2251" w:type="dxa"/>
            <w:tcBorders>
              <w:tl2br w:val="nil"/>
              <w:tr2bl w:val="nil"/>
            </w:tcBorders>
            <w:noWrap w:val="0"/>
            <w:tcMar>
              <w:top w:w="28" w:type="dxa"/>
              <w:left w:w="28" w:type="dxa"/>
              <w:bottom w:w="28" w:type="dxa"/>
              <w:right w:w="28" w:type="dxa"/>
            </w:tcMar>
            <w:vAlign w:val="center"/>
          </w:tcPr>
          <w:p w14:paraId="78F6D4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349A18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国家金融监督管理总局广西监管局，各市、县人民政府</w:t>
            </w:r>
          </w:p>
        </w:tc>
      </w:tr>
      <w:tr w14:paraId="766B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jc w:val="center"/>
        </w:trPr>
        <w:tc>
          <w:tcPr>
            <w:tcW w:w="518" w:type="dxa"/>
            <w:tcBorders>
              <w:tl2br w:val="nil"/>
              <w:tr2bl w:val="nil"/>
            </w:tcBorders>
            <w:noWrap w:val="0"/>
            <w:tcMar>
              <w:top w:w="28" w:type="dxa"/>
              <w:left w:w="28" w:type="dxa"/>
              <w:bottom w:w="28" w:type="dxa"/>
              <w:right w:w="28" w:type="dxa"/>
            </w:tcMar>
            <w:vAlign w:val="center"/>
          </w:tcPr>
          <w:p w14:paraId="4784900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154</w:t>
            </w:r>
          </w:p>
        </w:tc>
        <w:tc>
          <w:tcPr>
            <w:tcW w:w="988" w:type="dxa"/>
            <w:vMerge w:val="continue"/>
            <w:tcBorders>
              <w:tl2br w:val="nil"/>
              <w:tr2bl w:val="nil"/>
            </w:tcBorders>
            <w:noWrap w:val="0"/>
            <w:tcMar>
              <w:top w:w="28" w:type="dxa"/>
              <w:left w:w="28" w:type="dxa"/>
              <w:bottom w:w="28" w:type="dxa"/>
              <w:right w:w="28" w:type="dxa"/>
            </w:tcMar>
            <w:vAlign w:val="center"/>
          </w:tcPr>
          <w:p w14:paraId="6A86ABE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65376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建设支付便利化示范区</w:t>
            </w:r>
          </w:p>
        </w:tc>
        <w:tc>
          <w:tcPr>
            <w:tcW w:w="4992" w:type="dxa"/>
            <w:tcBorders>
              <w:tl2br w:val="nil"/>
              <w:tr2bl w:val="nil"/>
            </w:tcBorders>
            <w:noWrap w:val="0"/>
            <w:tcMar>
              <w:top w:w="28" w:type="dxa"/>
              <w:left w:w="28" w:type="dxa"/>
              <w:bottom w:w="28" w:type="dxa"/>
              <w:right w:w="28" w:type="dxa"/>
            </w:tcMar>
            <w:vAlign w:val="center"/>
          </w:tcPr>
          <w:p w14:paraId="2E8052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结合中国—东盟博览会、桂林世界级旅游城市、边境旅游试验区等特色场景，打造一批外籍来桂人员支付便利化示范区域和境外银行卡受理示范区域。</w:t>
            </w:r>
          </w:p>
        </w:tc>
        <w:tc>
          <w:tcPr>
            <w:tcW w:w="2251" w:type="dxa"/>
            <w:tcBorders>
              <w:tl2br w:val="nil"/>
              <w:tr2bl w:val="nil"/>
            </w:tcBorders>
            <w:noWrap w:val="0"/>
            <w:tcMar>
              <w:top w:w="28" w:type="dxa"/>
              <w:left w:w="28" w:type="dxa"/>
              <w:bottom w:w="28" w:type="dxa"/>
              <w:right w:w="28" w:type="dxa"/>
            </w:tcMar>
            <w:vAlign w:val="center"/>
          </w:tcPr>
          <w:p w14:paraId="06D7118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中国人民银行广西壮族自治区分行</w:t>
            </w:r>
          </w:p>
        </w:tc>
        <w:tc>
          <w:tcPr>
            <w:tcW w:w="2309" w:type="dxa"/>
            <w:tcBorders>
              <w:tl2br w:val="nil"/>
              <w:tr2bl w:val="nil"/>
            </w:tcBorders>
            <w:noWrap w:val="0"/>
            <w:tcMar>
              <w:top w:w="28" w:type="dxa"/>
              <w:left w:w="28" w:type="dxa"/>
              <w:bottom w:w="28" w:type="dxa"/>
              <w:right w:w="28" w:type="dxa"/>
            </w:tcMar>
            <w:vAlign w:val="center"/>
          </w:tcPr>
          <w:p w14:paraId="187068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自治区党委金融办，自治区商务厅、文化和旅游厅，广西出入境边防检查总站，国家金融监督管理总局广西监管局，各市、县人民政府</w:t>
            </w:r>
          </w:p>
        </w:tc>
      </w:tr>
      <w:tr w14:paraId="3727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9608D9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155</w:t>
            </w:r>
          </w:p>
        </w:tc>
        <w:tc>
          <w:tcPr>
            <w:tcW w:w="988" w:type="dxa"/>
            <w:vMerge w:val="restart"/>
            <w:tcBorders>
              <w:tl2br w:val="nil"/>
              <w:tr2bl w:val="nil"/>
            </w:tcBorders>
            <w:noWrap w:val="0"/>
            <w:tcMar>
              <w:top w:w="28" w:type="dxa"/>
              <w:left w:w="28" w:type="dxa"/>
              <w:bottom w:w="28" w:type="dxa"/>
              <w:right w:w="28" w:type="dxa"/>
            </w:tcMar>
            <w:vAlign w:val="center"/>
          </w:tcPr>
          <w:p w14:paraId="062EFD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35AC60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加大科技型中小企业培育</w:t>
            </w:r>
          </w:p>
        </w:tc>
        <w:tc>
          <w:tcPr>
            <w:tcW w:w="4992" w:type="dxa"/>
            <w:tcBorders>
              <w:tl2br w:val="nil"/>
              <w:tr2bl w:val="nil"/>
            </w:tcBorders>
            <w:noWrap w:val="0"/>
            <w:tcMar>
              <w:top w:w="28" w:type="dxa"/>
              <w:left w:w="28" w:type="dxa"/>
              <w:bottom w:w="28" w:type="dxa"/>
              <w:right w:w="28" w:type="dxa"/>
            </w:tcMar>
            <w:vAlign w:val="center"/>
          </w:tcPr>
          <w:p w14:paraId="0FBC758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完善科技型企业全生命周期梯次培育体系，加大宣传科技型中小企业政策力度，组织企业参加评价入库培训。持续推行创新项目企业牵头制，将企业作为牵头单位的非基金类科技计划项目比例提高到50%以上。</w:t>
            </w:r>
          </w:p>
        </w:tc>
        <w:tc>
          <w:tcPr>
            <w:tcW w:w="2251" w:type="dxa"/>
            <w:tcBorders>
              <w:tl2br w:val="nil"/>
              <w:tr2bl w:val="nil"/>
            </w:tcBorders>
            <w:noWrap w:val="0"/>
            <w:tcMar>
              <w:top w:w="28" w:type="dxa"/>
              <w:left w:w="28" w:type="dxa"/>
              <w:bottom w:w="28" w:type="dxa"/>
              <w:right w:w="28" w:type="dxa"/>
            </w:tcMar>
            <w:vAlign w:val="center"/>
          </w:tcPr>
          <w:p w14:paraId="53AB5AA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20BEDB9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2C47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69B87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156</w:t>
            </w:r>
          </w:p>
        </w:tc>
        <w:tc>
          <w:tcPr>
            <w:tcW w:w="988" w:type="dxa"/>
            <w:vMerge w:val="continue"/>
            <w:tcBorders>
              <w:tl2br w:val="nil"/>
              <w:tr2bl w:val="nil"/>
            </w:tcBorders>
            <w:noWrap w:val="0"/>
            <w:tcMar>
              <w:top w:w="28" w:type="dxa"/>
              <w:left w:w="28" w:type="dxa"/>
              <w:bottom w:w="28" w:type="dxa"/>
              <w:right w:w="28" w:type="dxa"/>
            </w:tcMar>
            <w:vAlign w:val="center"/>
          </w:tcPr>
          <w:p w14:paraId="244F35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4270EA3">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加强科技转化</w:t>
            </w:r>
          </w:p>
        </w:tc>
        <w:tc>
          <w:tcPr>
            <w:tcW w:w="4992" w:type="dxa"/>
            <w:tcBorders>
              <w:tl2br w:val="nil"/>
              <w:tr2bl w:val="nil"/>
            </w:tcBorders>
            <w:noWrap w:val="0"/>
            <w:tcMar>
              <w:top w:w="28" w:type="dxa"/>
              <w:left w:w="28" w:type="dxa"/>
              <w:bottom w:w="28" w:type="dxa"/>
              <w:right w:w="28" w:type="dxa"/>
            </w:tcMar>
            <w:vAlign w:val="center"/>
          </w:tcPr>
          <w:p w14:paraId="4BC508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实施广西科技计划项目贷补联动项目，放大财政科技资金的引导效益，鼓励企业加大研发投入力度。启动实施广西职务科技成果转化管理改革试点工作。</w:t>
            </w:r>
          </w:p>
        </w:tc>
        <w:tc>
          <w:tcPr>
            <w:tcW w:w="2251" w:type="dxa"/>
            <w:tcBorders>
              <w:tl2br w:val="nil"/>
              <w:tr2bl w:val="nil"/>
            </w:tcBorders>
            <w:noWrap w:val="0"/>
            <w:tcMar>
              <w:top w:w="28" w:type="dxa"/>
              <w:left w:w="28" w:type="dxa"/>
              <w:bottom w:w="28" w:type="dxa"/>
              <w:right w:w="28" w:type="dxa"/>
            </w:tcMar>
            <w:vAlign w:val="center"/>
          </w:tcPr>
          <w:p w14:paraId="6078804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0F75266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自治区发展改革委、教育厅、财政厅、人力资源社会保障厅、市场监管局</w:t>
            </w:r>
          </w:p>
        </w:tc>
      </w:tr>
      <w:tr w14:paraId="7103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E8523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157</w:t>
            </w:r>
          </w:p>
        </w:tc>
        <w:tc>
          <w:tcPr>
            <w:tcW w:w="988" w:type="dxa"/>
            <w:vMerge w:val="continue"/>
            <w:tcBorders>
              <w:tl2br w:val="nil"/>
              <w:tr2bl w:val="nil"/>
            </w:tcBorders>
            <w:noWrap w:val="0"/>
            <w:tcMar>
              <w:top w:w="28" w:type="dxa"/>
              <w:left w:w="28" w:type="dxa"/>
              <w:bottom w:w="28" w:type="dxa"/>
              <w:right w:w="28" w:type="dxa"/>
            </w:tcMar>
            <w:vAlign w:val="center"/>
          </w:tcPr>
          <w:p w14:paraId="7CB627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7098FE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落实研发费用加计扣除政策</w:t>
            </w:r>
          </w:p>
        </w:tc>
        <w:tc>
          <w:tcPr>
            <w:tcW w:w="4992" w:type="dxa"/>
            <w:tcBorders>
              <w:tl2br w:val="nil"/>
              <w:tr2bl w:val="nil"/>
            </w:tcBorders>
            <w:noWrap w:val="0"/>
            <w:tcMar>
              <w:top w:w="28" w:type="dxa"/>
              <w:left w:w="28" w:type="dxa"/>
              <w:bottom w:w="28" w:type="dxa"/>
              <w:right w:w="28" w:type="dxa"/>
            </w:tcMar>
            <w:vAlign w:val="center"/>
          </w:tcPr>
          <w:p w14:paraId="10A883A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认真落实研发费用加计扣除政策，加强后续管理，2024年11月30日前开展后续核查，核查面不低于20%，确保税收优惠应享尽享。</w:t>
            </w:r>
          </w:p>
        </w:tc>
        <w:tc>
          <w:tcPr>
            <w:tcW w:w="2251" w:type="dxa"/>
            <w:tcBorders>
              <w:tl2br w:val="nil"/>
              <w:tr2bl w:val="nil"/>
            </w:tcBorders>
            <w:noWrap w:val="0"/>
            <w:tcMar>
              <w:top w:w="28" w:type="dxa"/>
              <w:left w:w="28" w:type="dxa"/>
              <w:bottom w:w="28" w:type="dxa"/>
              <w:right w:w="28" w:type="dxa"/>
            </w:tcMar>
            <w:vAlign w:val="center"/>
          </w:tcPr>
          <w:p w14:paraId="364B854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广西税务局</w:t>
            </w:r>
          </w:p>
        </w:tc>
        <w:tc>
          <w:tcPr>
            <w:tcW w:w="2309" w:type="dxa"/>
            <w:tcBorders>
              <w:tl2br w:val="nil"/>
              <w:tr2bl w:val="nil"/>
            </w:tcBorders>
            <w:noWrap w:val="0"/>
            <w:tcMar>
              <w:top w:w="28" w:type="dxa"/>
              <w:left w:w="28" w:type="dxa"/>
              <w:bottom w:w="28" w:type="dxa"/>
              <w:right w:w="28" w:type="dxa"/>
            </w:tcMar>
            <w:vAlign w:val="center"/>
          </w:tcPr>
          <w:p w14:paraId="0D13A53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461E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jc w:val="center"/>
        </w:trPr>
        <w:tc>
          <w:tcPr>
            <w:tcW w:w="518" w:type="dxa"/>
            <w:tcBorders>
              <w:tl2br w:val="nil"/>
              <w:tr2bl w:val="nil"/>
            </w:tcBorders>
            <w:noWrap w:val="0"/>
            <w:tcMar>
              <w:top w:w="28" w:type="dxa"/>
              <w:left w:w="28" w:type="dxa"/>
              <w:bottom w:w="28" w:type="dxa"/>
              <w:right w:w="28" w:type="dxa"/>
            </w:tcMar>
            <w:vAlign w:val="center"/>
          </w:tcPr>
          <w:p w14:paraId="475C2FE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158</w:t>
            </w:r>
          </w:p>
        </w:tc>
        <w:tc>
          <w:tcPr>
            <w:tcW w:w="988" w:type="dxa"/>
            <w:vMerge w:val="restart"/>
            <w:tcBorders>
              <w:tl2br w:val="nil"/>
              <w:tr2bl w:val="nil"/>
            </w:tcBorders>
            <w:noWrap w:val="0"/>
            <w:tcMar>
              <w:top w:w="28" w:type="dxa"/>
              <w:left w:w="28" w:type="dxa"/>
              <w:bottom w:w="28" w:type="dxa"/>
              <w:right w:w="28" w:type="dxa"/>
            </w:tcMar>
            <w:vAlign w:val="center"/>
          </w:tcPr>
          <w:p w14:paraId="05F6D54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12C254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加速推进产学研融合</w:t>
            </w:r>
          </w:p>
        </w:tc>
        <w:tc>
          <w:tcPr>
            <w:tcW w:w="4992" w:type="dxa"/>
            <w:tcBorders>
              <w:tl2br w:val="nil"/>
              <w:tr2bl w:val="nil"/>
            </w:tcBorders>
            <w:noWrap w:val="0"/>
            <w:tcMar>
              <w:top w:w="28" w:type="dxa"/>
              <w:left w:w="28" w:type="dxa"/>
              <w:bottom w:w="28" w:type="dxa"/>
              <w:right w:w="28" w:type="dxa"/>
            </w:tcMar>
            <w:vAlign w:val="center"/>
          </w:tcPr>
          <w:p w14:paraId="75F880E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完善广西科技成果转移转化综合服务平台，为企业、高校院所科技成果转化提供“展示、共享、服务、交流、管理”五位一体的全链条服务，新增技术供需信息1000条以上，完善创新成果和技术需求数据库，引导企业与高校院所联动，服务企业700家以上，实现线上线下技术需求与创新成果精准匹配，促进科研成果产业化。</w:t>
            </w:r>
          </w:p>
        </w:tc>
        <w:tc>
          <w:tcPr>
            <w:tcW w:w="2251" w:type="dxa"/>
            <w:tcBorders>
              <w:tl2br w:val="nil"/>
              <w:tr2bl w:val="nil"/>
            </w:tcBorders>
            <w:noWrap w:val="0"/>
            <w:tcMar>
              <w:top w:w="28" w:type="dxa"/>
              <w:left w:w="28" w:type="dxa"/>
              <w:bottom w:w="28" w:type="dxa"/>
              <w:right w:w="28" w:type="dxa"/>
            </w:tcMar>
            <w:vAlign w:val="center"/>
          </w:tcPr>
          <w:p w14:paraId="3059A4D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38CB907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eastAsia="zh-CN"/>
              </w:rPr>
            </w:pPr>
            <w:r>
              <w:rPr>
                <w:rFonts w:hint="eastAsia" w:ascii="Times New Roman" w:hAnsi="Times New Roman" w:eastAsia="方正书宋_GBK" w:cs="方正书宋_GBK"/>
                <w:i w:val="0"/>
                <w:snapToGrid w:val="0"/>
                <w:color w:val="auto"/>
                <w:spacing w:val="0"/>
                <w:kern w:val="21"/>
                <w:sz w:val="22"/>
                <w:szCs w:val="22"/>
                <w:u w:val="none"/>
                <w:lang w:eastAsia="zh-CN"/>
              </w:rPr>
              <w:t>自治区教育厅</w:t>
            </w:r>
          </w:p>
        </w:tc>
      </w:tr>
      <w:tr w14:paraId="3798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518" w:type="dxa"/>
            <w:tcBorders>
              <w:tl2br w:val="nil"/>
              <w:tr2bl w:val="nil"/>
            </w:tcBorders>
            <w:noWrap w:val="0"/>
            <w:tcMar>
              <w:top w:w="28" w:type="dxa"/>
              <w:left w:w="28" w:type="dxa"/>
              <w:bottom w:w="28" w:type="dxa"/>
              <w:right w:w="28" w:type="dxa"/>
            </w:tcMar>
            <w:vAlign w:val="center"/>
          </w:tcPr>
          <w:p w14:paraId="591B9D2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159</w:t>
            </w:r>
          </w:p>
        </w:tc>
        <w:tc>
          <w:tcPr>
            <w:tcW w:w="988" w:type="dxa"/>
            <w:vMerge w:val="continue"/>
            <w:tcBorders>
              <w:tl2br w:val="nil"/>
              <w:tr2bl w:val="nil"/>
            </w:tcBorders>
            <w:noWrap w:val="0"/>
            <w:tcMar>
              <w:top w:w="28" w:type="dxa"/>
              <w:left w:w="28" w:type="dxa"/>
              <w:bottom w:w="28" w:type="dxa"/>
              <w:right w:w="28" w:type="dxa"/>
            </w:tcMar>
            <w:vAlign w:val="center"/>
          </w:tcPr>
          <w:p w14:paraId="6B9D268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7D9062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助力企业转型升级</w:t>
            </w:r>
          </w:p>
        </w:tc>
        <w:tc>
          <w:tcPr>
            <w:tcW w:w="4992" w:type="dxa"/>
            <w:tcBorders>
              <w:tl2br w:val="nil"/>
              <w:tr2bl w:val="nil"/>
            </w:tcBorders>
            <w:noWrap w:val="0"/>
            <w:tcMar>
              <w:top w:w="28" w:type="dxa"/>
              <w:left w:w="28" w:type="dxa"/>
              <w:bottom w:w="28" w:type="dxa"/>
              <w:right w:w="28" w:type="dxa"/>
            </w:tcMar>
            <w:vAlign w:val="center"/>
          </w:tcPr>
          <w:p w14:paraId="4C964E42">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统筹科技领域专项资金，加强关键核心技术研发，推动新兴产业稳链、补链、强链、控链、延链。</w:t>
            </w:r>
          </w:p>
        </w:tc>
        <w:tc>
          <w:tcPr>
            <w:tcW w:w="2251" w:type="dxa"/>
            <w:tcBorders>
              <w:tl2br w:val="nil"/>
              <w:tr2bl w:val="nil"/>
            </w:tcBorders>
            <w:noWrap w:val="0"/>
            <w:tcMar>
              <w:top w:w="28" w:type="dxa"/>
              <w:left w:w="28" w:type="dxa"/>
              <w:bottom w:w="28" w:type="dxa"/>
              <w:right w:w="28" w:type="dxa"/>
            </w:tcMar>
            <w:vAlign w:val="center"/>
          </w:tcPr>
          <w:p w14:paraId="2BD1A5C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自治区科技厅、财政厅</w:t>
            </w:r>
          </w:p>
        </w:tc>
        <w:tc>
          <w:tcPr>
            <w:tcW w:w="2309" w:type="dxa"/>
            <w:tcBorders>
              <w:tl2br w:val="nil"/>
              <w:tr2bl w:val="nil"/>
            </w:tcBorders>
            <w:noWrap w:val="0"/>
            <w:tcMar>
              <w:top w:w="28" w:type="dxa"/>
              <w:left w:w="28" w:type="dxa"/>
              <w:bottom w:w="28" w:type="dxa"/>
              <w:right w:w="28" w:type="dxa"/>
            </w:tcMar>
            <w:vAlign w:val="center"/>
          </w:tcPr>
          <w:p w14:paraId="79802E2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自治区工业和信息化厅</w:t>
            </w:r>
          </w:p>
        </w:tc>
      </w:tr>
      <w:tr w14:paraId="471D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518" w:type="dxa"/>
            <w:tcBorders>
              <w:tl2br w:val="nil"/>
              <w:tr2bl w:val="nil"/>
            </w:tcBorders>
            <w:noWrap w:val="0"/>
            <w:tcMar>
              <w:top w:w="28" w:type="dxa"/>
              <w:left w:w="28" w:type="dxa"/>
              <w:bottom w:w="28" w:type="dxa"/>
              <w:right w:w="28" w:type="dxa"/>
            </w:tcMar>
            <w:vAlign w:val="center"/>
          </w:tcPr>
          <w:p w14:paraId="44990CA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160</w:t>
            </w:r>
          </w:p>
        </w:tc>
        <w:tc>
          <w:tcPr>
            <w:tcW w:w="988" w:type="dxa"/>
            <w:vMerge w:val="continue"/>
            <w:tcBorders>
              <w:tl2br w:val="nil"/>
              <w:tr2bl w:val="nil"/>
            </w:tcBorders>
            <w:noWrap w:val="0"/>
            <w:tcMar>
              <w:top w:w="28" w:type="dxa"/>
              <w:left w:w="28" w:type="dxa"/>
              <w:bottom w:w="28" w:type="dxa"/>
              <w:right w:w="28" w:type="dxa"/>
            </w:tcMar>
            <w:vAlign w:val="center"/>
          </w:tcPr>
          <w:p w14:paraId="4B96B5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2112C1B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强化创新平台建设</w:t>
            </w:r>
          </w:p>
        </w:tc>
        <w:tc>
          <w:tcPr>
            <w:tcW w:w="4992" w:type="dxa"/>
            <w:tcBorders>
              <w:tl2br w:val="nil"/>
              <w:tr2bl w:val="nil"/>
            </w:tcBorders>
            <w:noWrap w:val="0"/>
            <w:tcMar>
              <w:top w:w="28" w:type="dxa"/>
              <w:left w:w="28" w:type="dxa"/>
              <w:bottom w:w="28" w:type="dxa"/>
              <w:right w:w="28" w:type="dxa"/>
            </w:tcMar>
            <w:vAlign w:val="center"/>
          </w:tcPr>
          <w:p w14:paraId="3470338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新增自治区实验室3家以上、自治区科技创新合作基地10家以上。</w:t>
            </w:r>
          </w:p>
        </w:tc>
        <w:tc>
          <w:tcPr>
            <w:tcW w:w="2251" w:type="dxa"/>
            <w:tcBorders>
              <w:tl2br w:val="nil"/>
              <w:tr2bl w:val="nil"/>
            </w:tcBorders>
            <w:noWrap w:val="0"/>
            <w:tcMar>
              <w:top w:w="28" w:type="dxa"/>
              <w:left w:w="28" w:type="dxa"/>
              <w:bottom w:w="28" w:type="dxa"/>
              <w:right w:w="28" w:type="dxa"/>
            </w:tcMar>
            <w:vAlign w:val="center"/>
          </w:tcPr>
          <w:p w14:paraId="264B805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36AEB7A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2C189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jc w:val="center"/>
        </w:trPr>
        <w:tc>
          <w:tcPr>
            <w:tcW w:w="518" w:type="dxa"/>
            <w:tcBorders>
              <w:tl2br w:val="nil"/>
              <w:tr2bl w:val="nil"/>
            </w:tcBorders>
            <w:noWrap w:val="0"/>
            <w:tcMar>
              <w:top w:w="28" w:type="dxa"/>
              <w:left w:w="28" w:type="dxa"/>
              <w:bottom w:w="28" w:type="dxa"/>
              <w:right w:w="28" w:type="dxa"/>
            </w:tcMar>
            <w:vAlign w:val="center"/>
          </w:tcPr>
          <w:p w14:paraId="3226B0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161</w:t>
            </w:r>
          </w:p>
        </w:tc>
        <w:tc>
          <w:tcPr>
            <w:tcW w:w="988" w:type="dxa"/>
            <w:vMerge w:val="continue"/>
            <w:tcBorders>
              <w:tl2br w:val="nil"/>
              <w:tr2bl w:val="nil"/>
            </w:tcBorders>
            <w:noWrap w:val="0"/>
            <w:tcMar>
              <w:top w:w="28" w:type="dxa"/>
              <w:left w:w="28" w:type="dxa"/>
              <w:bottom w:w="28" w:type="dxa"/>
              <w:right w:w="28" w:type="dxa"/>
            </w:tcMar>
            <w:vAlign w:val="center"/>
          </w:tcPr>
          <w:p w14:paraId="1EE25E0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134C99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加大技术交易力度</w:t>
            </w:r>
          </w:p>
        </w:tc>
        <w:tc>
          <w:tcPr>
            <w:tcW w:w="4992" w:type="dxa"/>
            <w:tcBorders>
              <w:tl2br w:val="nil"/>
              <w:tr2bl w:val="nil"/>
            </w:tcBorders>
            <w:noWrap w:val="0"/>
            <w:tcMar>
              <w:top w:w="28" w:type="dxa"/>
              <w:left w:w="28" w:type="dxa"/>
              <w:bottom w:w="28" w:type="dxa"/>
              <w:right w:w="28" w:type="dxa"/>
            </w:tcMar>
            <w:vAlign w:val="center"/>
          </w:tcPr>
          <w:p w14:paraId="7B57F20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技术合同成交额任务（南宁市196亿元、柳州市73亿元、桂林市15亿元、梧州市9亿元、北海市60亿元、防城港市22亿元、钦州市12亿元、贵港市28亿元、玉林市34亿元、百色市20亿元、贺州市4亿元、河池市8亿元、来宾市14亿元、崇左市7亿元）。</w:t>
            </w:r>
          </w:p>
        </w:tc>
        <w:tc>
          <w:tcPr>
            <w:tcW w:w="2251" w:type="dxa"/>
            <w:tcBorders>
              <w:tl2br w:val="nil"/>
              <w:tr2bl w:val="nil"/>
            </w:tcBorders>
            <w:noWrap w:val="0"/>
            <w:tcMar>
              <w:top w:w="28" w:type="dxa"/>
              <w:left w:w="28" w:type="dxa"/>
              <w:bottom w:w="28" w:type="dxa"/>
              <w:right w:w="28" w:type="dxa"/>
            </w:tcMar>
            <w:vAlign w:val="center"/>
          </w:tcPr>
          <w:p w14:paraId="0AEDBF4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4B54C58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6BB62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518" w:type="dxa"/>
            <w:tcBorders>
              <w:tl2br w:val="nil"/>
              <w:tr2bl w:val="nil"/>
            </w:tcBorders>
            <w:noWrap w:val="0"/>
            <w:tcMar>
              <w:top w:w="28" w:type="dxa"/>
              <w:left w:w="28" w:type="dxa"/>
              <w:bottom w:w="28" w:type="dxa"/>
              <w:right w:w="28" w:type="dxa"/>
            </w:tcMar>
            <w:vAlign w:val="center"/>
          </w:tcPr>
          <w:p w14:paraId="72AC44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162</w:t>
            </w:r>
          </w:p>
        </w:tc>
        <w:tc>
          <w:tcPr>
            <w:tcW w:w="988" w:type="dxa"/>
            <w:vMerge w:val="continue"/>
            <w:tcBorders>
              <w:tl2br w:val="nil"/>
              <w:tr2bl w:val="nil"/>
            </w:tcBorders>
            <w:noWrap w:val="0"/>
            <w:tcMar>
              <w:top w:w="28" w:type="dxa"/>
              <w:left w:w="28" w:type="dxa"/>
              <w:bottom w:w="28" w:type="dxa"/>
              <w:right w:w="28" w:type="dxa"/>
            </w:tcMar>
            <w:vAlign w:val="center"/>
          </w:tcPr>
          <w:p w14:paraId="4D5F9F3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E1E5210">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加强创新载体培育</w:t>
            </w:r>
          </w:p>
        </w:tc>
        <w:tc>
          <w:tcPr>
            <w:tcW w:w="4992" w:type="dxa"/>
            <w:tcBorders>
              <w:tl2br w:val="nil"/>
              <w:tr2bl w:val="nil"/>
            </w:tcBorders>
            <w:noWrap w:val="0"/>
            <w:tcMar>
              <w:top w:w="28" w:type="dxa"/>
              <w:left w:w="28" w:type="dxa"/>
              <w:bottom w:w="28" w:type="dxa"/>
              <w:right w:w="28" w:type="dxa"/>
            </w:tcMar>
            <w:vAlign w:val="center"/>
          </w:tcPr>
          <w:p w14:paraId="1F945CE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2024年新增中试研究基地12家。</w:t>
            </w:r>
          </w:p>
        </w:tc>
        <w:tc>
          <w:tcPr>
            <w:tcW w:w="2251" w:type="dxa"/>
            <w:tcBorders>
              <w:tl2br w:val="nil"/>
              <w:tr2bl w:val="nil"/>
            </w:tcBorders>
            <w:noWrap w:val="0"/>
            <w:tcMar>
              <w:top w:w="28" w:type="dxa"/>
              <w:left w:w="28" w:type="dxa"/>
              <w:bottom w:w="28" w:type="dxa"/>
              <w:right w:w="28" w:type="dxa"/>
            </w:tcMar>
            <w:vAlign w:val="center"/>
          </w:tcPr>
          <w:p w14:paraId="579961E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0A9FE62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213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518" w:type="dxa"/>
            <w:tcBorders>
              <w:tl2br w:val="nil"/>
              <w:tr2bl w:val="nil"/>
            </w:tcBorders>
            <w:noWrap w:val="0"/>
            <w:tcMar>
              <w:top w:w="28" w:type="dxa"/>
              <w:left w:w="28" w:type="dxa"/>
              <w:bottom w:w="28" w:type="dxa"/>
              <w:right w:w="28" w:type="dxa"/>
            </w:tcMar>
            <w:vAlign w:val="center"/>
          </w:tcPr>
          <w:p w14:paraId="710DF50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163</w:t>
            </w:r>
          </w:p>
        </w:tc>
        <w:tc>
          <w:tcPr>
            <w:tcW w:w="988" w:type="dxa"/>
            <w:vMerge w:val="continue"/>
            <w:tcBorders>
              <w:tl2br w:val="nil"/>
              <w:tr2bl w:val="nil"/>
            </w:tcBorders>
            <w:noWrap w:val="0"/>
            <w:tcMar>
              <w:top w:w="28" w:type="dxa"/>
              <w:left w:w="28" w:type="dxa"/>
              <w:bottom w:w="28" w:type="dxa"/>
              <w:right w:w="28" w:type="dxa"/>
            </w:tcMar>
            <w:vAlign w:val="center"/>
          </w:tcPr>
          <w:p w14:paraId="7878A40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DEDFF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与粤港澳大湾区共建产业链供应链创新链</w:t>
            </w:r>
          </w:p>
        </w:tc>
        <w:tc>
          <w:tcPr>
            <w:tcW w:w="4992" w:type="dxa"/>
            <w:tcBorders>
              <w:tl2br w:val="nil"/>
              <w:tr2bl w:val="nil"/>
            </w:tcBorders>
            <w:noWrap w:val="0"/>
            <w:tcMar>
              <w:top w:w="28" w:type="dxa"/>
              <w:left w:w="28" w:type="dxa"/>
              <w:bottom w:w="28" w:type="dxa"/>
              <w:right w:w="28" w:type="dxa"/>
            </w:tcMar>
            <w:vAlign w:val="center"/>
          </w:tcPr>
          <w:p w14:paraId="373E293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推动粤桂东西部协作发展，围绕自治区重点发展的产业集群、战略性新兴产业、未来产业以及两省区共同关注的生态环保、水利、农业、海洋等领域，实施科技项目5项以上。</w:t>
            </w:r>
          </w:p>
        </w:tc>
        <w:tc>
          <w:tcPr>
            <w:tcW w:w="2251" w:type="dxa"/>
            <w:tcBorders>
              <w:tl2br w:val="nil"/>
              <w:tr2bl w:val="nil"/>
            </w:tcBorders>
            <w:noWrap w:val="0"/>
            <w:tcMar>
              <w:top w:w="28" w:type="dxa"/>
              <w:left w:w="28" w:type="dxa"/>
              <w:bottom w:w="28" w:type="dxa"/>
              <w:right w:w="28" w:type="dxa"/>
            </w:tcMar>
            <w:vAlign w:val="center"/>
          </w:tcPr>
          <w:p w14:paraId="194DD89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65A5BF5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A4D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4D61BB9">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164</w:t>
            </w:r>
          </w:p>
        </w:tc>
        <w:tc>
          <w:tcPr>
            <w:tcW w:w="988" w:type="dxa"/>
            <w:tcBorders>
              <w:tl2br w:val="nil"/>
              <w:tr2bl w:val="nil"/>
            </w:tcBorders>
            <w:noWrap w:val="0"/>
            <w:tcMar>
              <w:top w:w="28" w:type="dxa"/>
              <w:left w:w="28" w:type="dxa"/>
              <w:bottom w:w="28" w:type="dxa"/>
              <w:right w:w="28" w:type="dxa"/>
            </w:tcMar>
            <w:vAlign w:val="center"/>
          </w:tcPr>
          <w:p w14:paraId="6D2EE141">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SA"/>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创新创业</w:t>
            </w:r>
          </w:p>
        </w:tc>
        <w:tc>
          <w:tcPr>
            <w:tcW w:w="2038" w:type="dxa"/>
            <w:tcBorders>
              <w:tl2br w:val="nil"/>
              <w:tr2bl w:val="nil"/>
            </w:tcBorders>
            <w:noWrap w:val="0"/>
            <w:tcMar>
              <w:top w:w="28" w:type="dxa"/>
              <w:left w:w="28" w:type="dxa"/>
              <w:bottom w:w="28" w:type="dxa"/>
              <w:right w:w="28" w:type="dxa"/>
            </w:tcMar>
            <w:vAlign w:val="center"/>
          </w:tcPr>
          <w:p w14:paraId="2792B6D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加快建设面向东盟科技创新合作区</w:t>
            </w:r>
          </w:p>
        </w:tc>
        <w:tc>
          <w:tcPr>
            <w:tcW w:w="4992" w:type="dxa"/>
            <w:tcBorders>
              <w:tl2br w:val="nil"/>
              <w:tr2bl w:val="nil"/>
            </w:tcBorders>
            <w:noWrap w:val="0"/>
            <w:tcMar>
              <w:top w:w="28" w:type="dxa"/>
              <w:left w:w="28" w:type="dxa"/>
              <w:bottom w:w="28" w:type="dxa"/>
              <w:right w:w="28" w:type="dxa"/>
            </w:tcMar>
            <w:vAlign w:val="center"/>
          </w:tcPr>
          <w:p w14:paraId="3C0008B0">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组织实施面向东盟科技创新合作区科技项目3项以上。组织开展面向东盟的科技交流活动，高质量组织实施第12届中国—东盟技术转移与创新合作大会、中国—东盟博览会先进技术展等活动。抓好国家级创新平台建设，积极争取更多新建国家级创新平台或分支机构落户我区。</w:t>
            </w:r>
          </w:p>
        </w:tc>
        <w:tc>
          <w:tcPr>
            <w:tcW w:w="2251" w:type="dxa"/>
            <w:tcBorders>
              <w:tl2br w:val="nil"/>
              <w:tr2bl w:val="nil"/>
            </w:tcBorders>
            <w:noWrap w:val="0"/>
            <w:tcMar>
              <w:top w:w="28" w:type="dxa"/>
              <w:left w:w="28" w:type="dxa"/>
              <w:bottom w:w="28" w:type="dxa"/>
              <w:right w:w="28" w:type="dxa"/>
            </w:tcMar>
            <w:vAlign w:val="center"/>
          </w:tcPr>
          <w:p w14:paraId="6EBF843E">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自治区科技厅</w:t>
            </w:r>
          </w:p>
        </w:tc>
        <w:tc>
          <w:tcPr>
            <w:tcW w:w="2309" w:type="dxa"/>
            <w:tcBorders>
              <w:tl2br w:val="nil"/>
              <w:tr2bl w:val="nil"/>
            </w:tcBorders>
            <w:noWrap w:val="0"/>
            <w:tcMar>
              <w:top w:w="28" w:type="dxa"/>
              <w:left w:w="28" w:type="dxa"/>
              <w:bottom w:w="28" w:type="dxa"/>
              <w:right w:w="28" w:type="dxa"/>
            </w:tcMar>
            <w:vAlign w:val="center"/>
          </w:tcPr>
          <w:p w14:paraId="276CDEEF">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13E8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3AAB6DE">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165</w:t>
            </w:r>
          </w:p>
        </w:tc>
        <w:tc>
          <w:tcPr>
            <w:tcW w:w="988" w:type="dxa"/>
            <w:vMerge w:val="restart"/>
            <w:tcBorders>
              <w:tl2br w:val="nil"/>
              <w:tr2bl w:val="nil"/>
            </w:tcBorders>
            <w:noWrap w:val="0"/>
            <w:tcMar>
              <w:top w:w="28" w:type="dxa"/>
              <w:left w:w="28" w:type="dxa"/>
              <w:bottom w:w="28" w:type="dxa"/>
              <w:right w:w="28" w:type="dxa"/>
            </w:tcMar>
            <w:vAlign w:val="center"/>
          </w:tcPr>
          <w:p w14:paraId="7DE120E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包容普惠创新</w:t>
            </w:r>
          </w:p>
        </w:tc>
        <w:tc>
          <w:tcPr>
            <w:tcW w:w="2038" w:type="dxa"/>
            <w:tcBorders>
              <w:tl2br w:val="nil"/>
              <w:tr2bl w:val="nil"/>
            </w:tcBorders>
            <w:noWrap w:val="0"/>
            <w:tcMar>
              <w:top w:w="28" w:type="dxa"/>
              <w:left w:w="28" w:type="dxa"/>
              <w:bottom w:w="28" w:type="dxa"/>
              <w:right w:w="28" w:type="dxa"/>
            </w:tcMar>
            <w:vAlign w:val="center"/>
          </w:tcPr>
          <w:p w14:paraId="03638D00">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强化卫生医疗保障</w:t>
            </w:r>
          </w:p>
        </w:tc>
        <w:tc>
          <w:tcPr>
            <w:tcW w:w="4992" w:type="dxa"/>
            <w:tcBorders>
              <w:tl2br w:val="nil"/>
              <w:tr2bl w:val="nil"/>
            </w:tcBorders>
            <w:noWrap w:val="0"/>
            <w:tcMar>
              <w:top w:w="28" w:type="dxa"/>
              <w:left w:w="28" w:type="dxa"/>
              <w:bottom w:w="28" w:type="dxa"/>
              <w:right w:w="28" w:type="dxa"/>
            </w:tcMar>
            <w:vAlign w:val="center"/>
          </w:tcPr>
          <w:p w14:paraId="0D335F87">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完成每千人口医疗卫生机构床位数年度增长任务（南宁市4%、柳州市1%、桂林市5%、梧州市5%、北海市5%、防城港市3%、钦州市1.5%、贵港市2%、玉林市1.5%、百色市1.5%、贺州市3%、河池市3%、来宾市1%、崇左市5%）。</w:t>
            </w:r>
            <w:r>
              <w:rPr>
                <w:rFonts w:hint="eastAsia" w:ascii="Times New Roman" w:hAnsi="Times New Roman" w:eastAsia="方正书宋_GBK" w:cs="方正书宋_GBK"/>
                <w:i w:val="0"/>
                <w:snapToGrid w:val="0"/>
                <w:color w:val="auto"/>
                <w:spacing w:val="0"/>
                <w:kern w:val="21"/>
                <w:sz w:val="22"/>
                <w:szCs w:val="22"/>
                <w:u w:val="none"/>
                <w:lang w:val="en-US" w:eastAsia="zh-CN" w:bidi="ar"/>
              </w:rPr>
              <w:br w:type="textWrapping"/>
            </w: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拥有执业（助理）医师数年度增长任务（南宁市3%、柳州市1.5%、桂林市1.5%、梧州市3%、北海市3%、防城港市2%、钦州市2%、贵港市2%、玉林市2%、百色市3%、贺州市1.8%、河池市3%、来宾市1%、崇左市3%）。</w:t>
            </w:r>
            <w:r>
              <w:rPr>
                <w:rFonts w:hint="eastAsia" w:ascii="Times New Roman" w:hAnsi="Times New Roman" w:eastAsia="方正书宋_GBK" w:cs="方正书宋_GBK"/>
                <w:i w:val="0"/>
                <w:snapToGrid w:val="0"/>
                <w:color w:val="auto"/>
                <w:spacing w:val="0"/>
                <w:kern w:val="21"/>
                <w:sz w:val="22"/>
                <w:szCs w:val="22"/>
                <w:u w:val="none"/>
                <w:lang w:val="en-US" w:eastAsia="zh-CN" w:bidi="ar"/>
              </w:rPr>
              <w:br w:type="textWrapping"/>
            </w:r>
            <w:r>
              <w:rPr>
                <w:rFonts w:hint="eastAsia" w:ascii="Times New Roman" w:hAnsi="Times New Roman" w:eastAsia="方正书宋_GBK" w:cs="方正书宋_GBK"/>
                <w:i w:val="0"/>
                <w:snapToGrid w:val="0"/>
                <w:color w:val="auto"/>
                <w:spacing w:val="0"/>
                <w:kern w:val="21"/>
                <w:sz w:val="22"/>
                <w:szCs w:val="22"/>
                <w:u w:val="none"/>
                <w:lang w:val="en-US" w:eastAsia="zh-CN" w:bidi="ar"/>
              </w:rPr>
              <w:t>完成每千人口注册护士数年度增长任务（南宁市4%、柳州市2%、桂林市1.5%、梧州市2%、北海市2%、防城港市2.5%、钦州市2%、贵港市2%、玉林市2%、百色市2%、贺州市1.5%、河池市1.5%、来宾市1%、崇左市1.5%）。</w:t>
            </w:r>
          </w:p>
        </w:tc>
        <w:tc>
          <w:tcPr>
            <w:tcW w:w="2251" w:type="dxa"/>
            <w:tcBorders>
              <w:tl2br w:val="nil"/>
              <w:tr2bl w:val="nil"/>
            </w:tcBorders>
            <w:noWrap w:val="0"/>
            <w:tcMar>
              <w:top w:w="28" w:type="dxa"/>
              <w:left w:w="28" w:type="dxa"/>
              <w:bottom w:w="28" w:type="dxa"/>
              <w:right w:w="28" w:type="dxa"/>
            </w:tcMar>
            <w:vAlign w:val="center"/>
          </w:tcPr>
          <w:p w14:paraId="71FCDEC9">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自治区卫生健康委</w:t>
            </w:r>
          </w:p>
        </w:tc>
        <w:tc>
          <w:tcPr>
            <w:tcW w:w="2309" w:type="dxa"/>
            <w:tcBorders>
              <w:tl2br w:val="nil"/>
              <w:tr2bl w:val="nil"/>
            </w:tcBorders>
            <w:noWrap w:val="0"/>
            <w:tcMar>
              <w:top w:w="28" w:type="dxa"/>
              <w:left w:w="28" w:type="dxa"/>
              <w:bottom w:w="28" w:type="dxa"/>
              <w:right w:w="28" w:type="dxa"/>
            </w:tcMar>
            <w:vAlign w:val="center"/>
          </w:tcPr>
          <w:p w14:paraId="182A47FB">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381E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2634876">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166</w:t>
            </w:r>
          </w:p>
        </w:tc>
        <w:tc>
          <w:tcPr>
            <w:tcW w:w="988" w:type="dxa"/>
            <w:vMerge w:val="continue"/>
            <w:tcBorders>
              <w:tl2br w:val="nil"/>
              <w:tr2bl w:val="nil"/>
            </w:tcBorders>
            <w:noWrap w:val="0"/>
            <w:tcMar>
              <w:top w:w="28" w:type="dxa"/>
              <w:left w:w="28" w:type="dxa"/>
              <w:bottom w:w="28" w:type="dxa"/>
              <w:right w:w="28" w:type="dxa"/>
            </w:tcMar>
            <w:vAlign w:val="center"/>
          </w:tcPr>
          <w:p w14:paraId="0F8CC8AF">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2A4B4C2">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强化文化旅游</w:t>
            </w:r>
          </w:p>
        </w:tc>
        <w:tc>
          <w:tcPr>
            <w:tcW w:w="4992" w:type="dxa"/>
            <w:tcBorders>
              <w:tl2br w:val="nil"/>
              <w:tr2bl w:val="nil"/>
            </w:tcBorders>
            <w:noWrap w:val="0"/>
            <w:tcMar>
              <w:top w:w="28" w:type="dxa"/>
              <w:left w:w="28" w:type="dxa"/>
              <w:bottom w:w="28" w:type="dxa"/>
              <w:right w:w="28" w:type="dxa"/>
            </w:tcMar>
            <w:vAlign w:val="center"/>
          </w:tcPr>
          <w:p w14:paraId="5C620012">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推广应用“一键游广西”平台，进一步提升公共服务智能化水平。</w:t>
            </w:r>
          </w:p>
        </w:tc>
        <w:tc>
          <w:tcPr>
            <w:tcW w:w="2251" w:type="dxa"/>
            <w:tcBorders>
              <w:tl2br w:val="nil"/>
              <w:tr2bl w:val="nil"/>
            </w:tcBorders>
            <w:noWrap w:val="0"/>
            <w:tcMar>
              <w:top w:w="28" w:type="dxa"/>
              <w:left w:w="28" w:type="dxa"/>
              <w:bottom w:w="28" w:type="dxa"/>
              <w:right w:w="28" w:type="dxa"/>
            </w:tcMar>
            <w:vAlign w:val="center"/>
          </w:tcPr>
          <w:p w14:paraId="7F8938E8">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自治区文化和</w:t>
            </w:r>
          </w:p>
          <w:p w14:paraId="37BFFA8E">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旅游厅</w:t>
            </w:r>
          </w:p>
        </w:tc>
        <w:tc>
          <w:tcPr>
            <w:tcW w:w="2309" w:type="dxa"/>
            <w:tcBorders>
              <w:tl2br w:val="nil"/>
              <w:tr2bl w:val="nil"/>
            </w:tcBorders>
            <w:noWrap w:val="0"/>
            <w:tcMar>
              <w:top w:w="28" w:type="dxa"/>
              <w:left w:w="28" w:type="dxa"/>
              <w:bottom w:w="28" w:type="dxa"/>
              <w:right w:w="28" w:type="dxa"/>
            </w:tcMar>
            <w:vAlign w:val="center"/>
          </w:tcPr>
          <w:p w14:paraId="4B8B1B64">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B79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6ADF6F7B">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167</w:t>
            </w:r>
          </w:p>
        </w:tc>
        <w:tc>
          <w:tcPr>
            <w:tcW w:w="988" w:type="dxa"/>
            <w:vMerge w:val="continue"/>
            <w:tcBorders>
              <w:tl2br w:val="nil"/>
              <w:tr2bl w:val="nil"/>
            </w:tcBorders>
            <w:noWrap w:val="0"/>
            <w:tcMar>
              <w:top w:w="28" w:type="dxa"/>
              <w:left w:w="28" w:type="dxa"/>
              <w:bottom w:w="28" w:type="dxa"/>
              <w:right w:w="28" w:type="dxa"/>
            </w:tcMar>
            <w:vAlign w:val="center"/>
          </w:tcPr>
          <w:p w14:paraId="2349FBB8">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E5ABE28">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提升医疗保障经办服务能力</w:t>
            </w:r>
          </w:p>
        </w:tc>
        <w:tc>
          <w:tcPr>
            <w:tcW w:w="4992" w:type="dxa"/>
            <w:tcBorders>
              <w:tl2br w:val="nil"/>
              <w:tr2bl w:val="nil"/>
            </w:tcBorders>
            <w:noWrap w:val="0"/>
            <w:tcMar>
              <w:top w:w="28" w:type="dxa"/>
              <w:left w:w="28" w:type="dxa"/>
              <w:bottom w:w="28" w:type="dxa"/>
              <w:right w:w="28" w:type="dxa"/>
            </w:tcMar>
            <w:vAlign w:val="center"/>
          </w:tcPr>
          <w:p w14:paraId="61DF2038">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全区100%的乡镇（街道）医保公共服务事项可办理率达到80%（至少能办理33项），90%以上村（社区）可办理率达到60%（至少能办理25项）。</w:t>
            </w:r>
          </w:p>
        </w:tc>
        <w:tc>
          <w:tcPr>
            <w:tcW w:w="2251" w:type="dxa"/>
            <w:tcBorders>
              <w:tl2br w:val="nil"/>
              <w:tr2bl w:val="nil"/>
            </w:tcBorders>
            <w:noWrap w:val="0"/>
            <w:tcMar>
              <w:top w:w="28" w:type="dxa"/>
              <w:left w:w="28" w:type="dxa"/>
              <w:bottom w:w="28" w:type="dxa"/>
              <w:right w:w="28" w:type="dxa"/>
            </w:tcMar>
            <w:vAlign w:val="center"/>
          </w:tcPr>
          <w:p w14:paraId="1C73D855">
            <w:pPr>
              <w:keepNext w:val="0"/>
              <w:keepLines w:val="0"/>
              <w:pageBreakBefore w:val="0"/>
              <w:widowControl w:val="0"/>
              <w:suppressLineNumbers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自治区医保局</w:t>
            </w:r>
          </w:p>
        </w:tc>
        <w:tc>
          <w:tcPr>
            <w:tcW w:w="2309" w:type="dxa"/>
            <w:tcBorders>
              <w:tl2br w:val="nil"/>
              <w:tr2bl w:val="nil"/>
            </w:tcBorders>
            <w:noWrap w:val="0"/>
            <w:tcMar>
              <w:top w:w="28" w:type="dxa"/>
              <w:left w:w="28" w:type="dxa"/>
              <w:bottom w:w="28" w:type="dxa"/>
              <w:right w:w="28" w:type="dxa"/>
            </w:tcMar>
            <w:vAlign w:val="center"/>
          </w:tcPr>
          <w:p w14:paraId="0D2E35F3">
            <w:pPr>
              <w:keepNext w:val="0"/>
              <w:keepLines w:val="0"/>
              <w:pageBreakBefore w:val="0"/>
              <w:widowControl w:val="0"/>
              <w:kinsoku/>
              <w:wordWrap/>
              <w:overflowPunct/>
              <w:topLinePunct w:val="0"/>
              <w:autoSpaceDE/>
              <w:autoSpaceDN/>
              <w:bidi w:val="0"/>
              <w:adjustRightInd w:val="0"/>
              <w:snapToGrid w:val="0"/>
              <w:spacing w:line="316"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1BA3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22AFAF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168</w:t>
            </w:r>
          </w:p>
        </w:tc>
        <w:tc>
          <w:tcPr>
            <w:tcW w:w="988" w:type="dxa"/>
            <w:vMerge w:val="restart"/>
            <w:tcBorders>
              <w:tl2br w:val="nil"/>
              <w:tr2bl w:val="nil"/>
            </w:tcBorders>
            <w:noWrap w:val="0"/>
            <w:tcMar>
              <w:top w:w="28" w:type="dxa"/>
              <w:left w:w="28" w:type="dxa"/>
              <w:bottom w:w="28" w:type="dxa"/>
              <w:right w:w="28" w:type="dxa"/>
            </w:tcMar>
            <w:vAlign w:val="center"/>
          </w:tcPr>
          <w:p w14:paraId="7AB64BE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包容普惠创新</w:t>
            </w:r>
          </w:p>
        </w:tc>
        <w:tc>
          <w:tcPr>
            <w:tcW w:w="2038" w:type="dxa"/>
            <w:tcBorders>
              <w:tl2br w:val="nil"/>
              <w:tr2bl w:val="nil"/>
            </w:tcBorders>
            <w:noWrap w:val="0"/>
            <w:tcMar>
              <w:top w:w="28" w:type="dxa"/>
              <w:left w:w="28" w:type="dxa"/>
              <w:bottom w:w="28" w:type="dxa"/>
              <w:right w:w="28" w:type="dxa"/>
            </w:tcMar>
            <w:vAlign w:val="center"/>
          </w:tcPr>
          <w:p w14:paraId="2D36175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学前教育</w:t>
            </w:r>
          </w:p>
        </w:tc>
        <w:tc>
          <w:tcPr>
            <w:tcW w:w="4992" w:type="dxa"/>
            <w:tcBorders>
              <w:tl2br w:val="nil"/>
              <w:tr2bl w:val="nil"/>
            </w:tcBorders>
            <w:noWrap w:val="0"/>
            <w:tcMar>
              <w:top w:w="28" w:type="dxa"/>
              <w:left w:w="28" w:type="dxa"/>
              <w:bottom w:w="28" w:type="dxa"/>
              <w:right w:w="28" w:type="dxa"/>
            </w:tcMar>
            <w:vAlign w:val="center"/>
          </w:tcPr>
          <w:p w14:paraId="2667BF4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扩增普惠性学前教育资源，支持各地新建改扩建一批城乡公办幼儿园。</w:t>
            </w:r>
          </w:p>
        </w:tc>
        <w:tc>
          <w:tcPr>
            <w:tcW w:w="2251" w:type="dxa"/>
            <w:tcBorders>
              <w:tl2br w:val="nil"/>
              <w:tr2bl w:val="nil"/>
            </w:tcBorders>
            <w:noWrap w:val="0"/>
            <w:tcMar>
              <w:top w:w="28" w:type="dxa"/>
              <w:left w:w="28" w:type="dxa"/>
              <w:bottom w:w="28" w:type="dxa"/>
              <w:right w:w="28" w:type="dxa"/>
            </w:tcMar>
            <w:vAlign w:val="center"/>
          </w:tcPr>
          <w:p w14:paraId="33BA093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02A2BFD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A02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4117975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169</w:t>
            </w:r>
          </w:p>
        </w:tc>
        <w:tc>
          <w:tcPr>
            <w:tcW w:w="988" w:type="dxa"/>
            <w:vMerge w:val="continue"/>
            <w:tcBorders>
              <w:tl2br w:val="nil"/>
              <w:tr2bl w:val="nil"/>
            </w:tcBorders>
            <w:noWrap w:val="0"/>
            <w:tcMar>
              <w:top w:w="28" w:type="dxa"/>
              <w:left w:w="28" w:type="dxa"/>
              <w:bottom w:w="28" w:type="dxa"/>
              <w:right w:w="28" w:type="dxa"/>
            </w:tcMar>
            <w:vAlign w:val="center"/>
          </w:tcPr>
          <w:p w14:paraId="3FCF7A4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4496F41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推进义务教育优质均衡发展</w:t>
            </w:r>
          </w:p>
        </w:tc>
        <w:tc>
          <w:tcPr>
            <w:tcW w:w="4992" w:type="dxa"/>
            <w:tcBorders>
              <w:tl2br w:val="nil"/>
              <w:tr2bl w:val="nil"/>
            </w:tcBorders>
            <w:noWrap w:val="0"/>
            <w:tcMar>
              <w:top w:w="28" w:type="dxa"/>
              <w:left w:w="28" w:type="dxa"/>
              <w:bottom w:w="28" w:type="dxa"/>
              <w:right w:w="28" w:type="dxa"/>
            </w:tcMar>
            <w:vAlign w:val="center"/>
          </w:tcPr>
          <w:p w14:paraId="2A74687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深入实施义务教育质量提升行动（2023—2025年），督促各地统筹解决随迁子女入学问题，有序保障学位供给，保障进城务工人员随迁子女公平享有在居住地接受义务教育的权利。</w:t>
            </w:r>
          </w:p>
        </w:tc>
        <w:tc>
          <w:tcPr>
            <w:tcW w:w="2251" w:type="dxa"/>
            <w:tcBorders>
              <w:tl2br w:val="nil"/>
              <w:tr2bl w:val="nil"/>
            </w:tcBorders>
            <w:noWrap w:val="0"/>
            <w:tcMar>
              <w:top w:w="28" w:type="dxa"/>
              <w:left w:w="28" w:type="dxa"/>
              <w:bottom w:w="28" w:type="dxa"/>
              <w:right w:w="28" w:type="dxa"/>
            </w:tcMar>
            <w:vAlign w:val="center"/>
          </w:tcPr>
          <w:p w14:paraId="492B1D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自治区教育厅</w:t>
            </w:r>
          </w:p>
        </w:tc>
        <w:tc>
          <w:tcPr>
            <w:tcW w:w="2309" w:type="dxa"/>
            <w:tcBorders>
              <w:tl2br w:val="nil"/>
              <w:tr2bl w:val="nil"/>
            </w:tcBorders>
            <w:noWrap w:val="0"/>
            <w:tcMar>
              <w:top w:w="28" w:type="dxa"/>
              <w:left w:w="28" w:type="dxa"/>
              <w:bottom w:w="28" w:type="dxa"/>
              <w:right w:w="28" w:type="dxa"/>
            </w:tcMar>
            <w:vAlign w:val="center"/>
          </w:tcPr>
          <w:p w14:paraId="27F22F1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507EC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48FEF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170</w:t>
            </w:r>
          </w:p>
        </w:tc>
        <w:tc>
          <w:tcPr>
            <w:tcW w:w="988" w:type="dxa"/>
            <w:vMerge w:val="continue"/>
            <w:tcBorders>
              <w:tl2br w:val="nil"/>
              <w:tr2bl w:val="nil"/>
            </w:tcBorders>
            <w:noWrap w:val="0"/>
            <w:tcMar>
              <w:top w:w="28" w:type="dxa"/>
              <w:left w:w="28" w:type="dxa"/>
              <w:bottom w:w="28" w:type="dxa"/>
              <w:right w:w="28" w:type="dxa"/>
            </w:tcMar>
            <w:vAlign w:val="center"/>
          </w:tcPr>
          <w:p w14:paraId="261D2FB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31158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推进“双千兆”网络协同布局</w:t>
            </w:r>
          </w:p>
        </w:tc>
        <w:tc>
          <w:tcPr>
            <w:tcW w:w="4992" w:type="dxa"/>
            <w:tcBorders>
              <w:tl2br w:val="nil"/>
              <w:tr2bl w:val="nil"/>
            </w:tcBorders>
            <w:noWrap w:val="0"/>
            <w:tcMar>
              <w:top w:w="28" w:type="dxa"/>
              <w:left w:w="28" w:type="dxa"/>
              <w:bottom w:w="28" w:type="dxa"/>
              <w:right w:w="28" w:type="dxa"/>
            </w:tcMar>
            <w:vAlign w:val="center"/>
          </w:tcPr>
          <w:p w14:paraId="49F481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纵深推进“双千兆”网络协同布局建设，持续扩大“双千兆”网络覆盖范围，不断提高信息通信行业赋能和供给能力。全区新建5G基站2万座以上（南宁市2860个、柳州市1870个、桂林市2100个、梧州市1180个、北海市574个、防城港市524个、钦州市830个、贵港市882个、玉林市1900个、百色市2490个、贺州市793个、河池市2220个、来宾市760个、崇左市1017个）。</w:t>
            </w:r>
          </w:p>
        </w:tc>
        <w:tc>
          <w:tcPr>
            <w:tcW w:w="2251" w:type="dxa"/>
            <w:tcBorders>
              <w:tl2br w:val="nil"/>
              <w:tr2bl w:val="nil"/>
            </w:tcBorders>
            <w:noWrap w:val="0"/>
            <w:tcMar>
              <w:top w:w="28" w:type="dxa"/>
              <w:left w:w="28" w:type="dxa"/>
              <w:bottom w:w="28" w:type="dxa"/>
              <w:right w:w="28" w:type="dxa"/>
            </w:tcMar>
            <w:vAlign w:val="center"/>
          </w:tcPr>
          <w:p w14:paraId="2987EDF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自治区通信管理局</w:t>
            </w:r>
          </w:p>
        </w:tc>
        <w:tc>
          <w:tcPr>
            <w:tcW w:w="2309" w:type="dxa"/>
            <w:tcBorders>
              <w:tl2br w:val="nil"/>
              <w:tr2bl w:val="nil"/>
            </w:tcBorders>
            <w:noWrap w:val="0"/>
            <w:tcMar>
              <w:top w:w="28" w:type="dxa"/>
              <w:left w:w="28" w:type="dxa"/>
              <w:bottom w:w="28" w:type="dxa"/>
              <w:right w:w="28" w:type="dxa"/>
            </w:tcMar>
            <w:vAlign w:val="center"/>
          </w:tcPr>
          <w:p w14:paraId="575ABB8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04AC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CAD1F7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171</w:t>
            </w:r>
          </w:p>
        </w:tc>
        <w:tc>
          <w:tcPr>
            <w:tcW w:w="988" w:type="dxa"/>
            <w:vMerge w:val="continue"/>
            <w:tcBorders>
              <w:tl2br w:val="nil"/>
              <w:tr2bl w:val="nil"/>
            </w:tcBorders>
            <w:noWrap w:val="0"/>
            <w:tcMar>
              <w:top w:w="28" w:type="dxa"/>
              <w:left w:w="28" w:type="dxa"/>
              <w:bottom w:w="28" w:type="dxa"/>
              <w:right w:w="28" w:type="dxa"/>
            </w:tcMar>
            <w:vAlign w:val="center"/>
          </w:tcPr>
          <w:p w14:paraId="76D972B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5E4AC9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推动养老健康产业发展</w:t>
            </w:r>
          </w:p>
        </w:tc>
        <w:tc>
          <w:tcPr>
            <w:tcW w:w="4992" w:type="dxa"/>
            <w:tcBorders>
              <w:tl2br w:val="nil"/>
              <w:tr2bl w:val="nil"/>
            </w:tcBorders>
            <w:noWrap w:val="0"/>
            <w:tcMar>
              <w:top w:w="28" w:type="dxa"/>
              <w:left w:w="28" w:type="dxa"/>
              <w:bottom w:w="28" w:type="dxa"/>
              <w:right w:w="28" w:type="dxa"/>
            </w:tcMar>
            <w:vAlign w:val="center"/>
          </w:tcPr>
          <w:p w14:paraId="543AB26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加大养老服务市场主体支持力度，落实好民办养老机构各类补贴政策，培育一批养老服务发展示范项目，加强养老护理人才培养，畅通养老服务企业人才需求和供给精准对接渠道，促进养老服务行业高质量发展。</w:t>
            </w:r>
          </w:p>
        </w:tc>
        <w:tc>
          <w:tcPr>
            <w:tcW w:w="2251" w:type="dxa"/>
            <w:tcBorders>
              <w:tl2br w:val="nil"/>
              <w:tr2bl w:val="nil"/>
            </w:tcBorders>
            <w:noWrap w:val="0"/>
            <w:tcMar>
              <w:top w:w="28" w:type="dxa"/>
              <w:left w:w="28" w:type="dxa"/>
              <w:bottom w:w="28" w:type="dxa"/>
              <w:right w:w="28" w:type="dxa"/>
            </w:tcMar>
            <w:vAlign w:val="center"/>
          </w:tcPr>
          <w:p w14:paraId="13023E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自治区民政厅</w:t>
            </w:r>
          </w:p>
        </w:tc>
        <w:tc>
          <w:tcPr>
            <w:tcW w:w="2309" w:type="dxa"/>
            <w:tcBorders>
              <w:tl2br w:val="nil"/>
              <w:tr2bl w:val="nil"/>
            </w:tcBorders>
            <w:noWrap w:val="0"/>
            <w:tcMar>
              <w:top w:w="28" w:type="dxa"/>
              <w:left w:w="28" w:type="dxa"/>
              <w:bottom w:w="28" w:type="dxa"/>
              <w:right w:w="28" w:type="dxa"/>
            </w:tcMar>
            <w:vAlign w:val="center"/>
          </w:tcPr>
          <w:p w14:paraId="737713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r w14:paraId="7174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568ADF6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172</w:t>
            </w:r>
          </w:p>
        </w:tc>
        <w:tc>
          <w:tcPr>
            <w:tcW w:w="988" w:type="dxa"/>
            <w:vMerge w:val="continue"/>
            <w:tcBorders>
              <w:tl2br w:val="nil"/>
              <w:tr2bl w:val="nil"/>
            </w:tcBorders>
            <w:noWrap w:val="0"/>
            <w:tcMar>
              <w:top w:w="28" w:type="dxa"/>
              <w:left w:w="28" w:type="dxa"/>
              <w:bottom w:w="28" w:type="dxa"/>
              <w:right w:w="28" w:type="dxa"/>
            </w:tcMar>
            <w:vAlign w:val="center"/>
          </w:tcPr>
          <w:p w14:paraId="2D18A76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7A110F9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完善园区配套设施</w:t>
            </w:r>
          </w:p>
        </w:tc>
        <w:tc>
          <w:tcPr>
            <w:tcW w:w="4992" w:type="dxa"/>
            <w:tcBorders>
              <w:tl2br w:val="nil"/>
              <w:tr2bl w:val="nil"/>
            </w:tcBorders>
            <w:noWrap w:val="0"/>
            <w:tcMar>
              <w:top w:w="28" w:type="dxa"/>
              <w:left w:w="28" w:type="dxa"/>
              <w:bottom w:w="28" w:type="dxa"/>
              <w:right w:w="28" w:type="dxa"/>
            </w:tcMar>
            <w:vAlign w:val="center"/>
          </w:tcPr>
          <w:p w14:paraId="77BC101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加快工业园区基础设施建设，完善学校、医疗、公租房、生活超市、公园、娱乐等设施，减少因生活不便利导致企业员工离职的情况。</w:t>
            </w:r>
          </w:p>
        </w:tc>
        <w:tc>
          <w:tcPr>
            <w:tcW w:w="2251" w:type="dxa"/>
            <w:tcBorders>
              <w:tl2br w:val="nil"/>
              <w:tr2bl w:val="nil"/>
            </w:tcBorders>
            <w:noWrap w:val="0"/>
            <w:tcMar>
              <w:top w:w="28" w:type="dxa"/>
              <w:left w:w="28" w:type="dxa"/>
              <w:bottom w:w="28" w:type="dxa"/>
              <w:right w:w="28" w:type="dxa"/>
            </w:tcMar>
            <w:vAlign w:val="center"/>
          </w:tcPr>
          <w:p w14:paraId="2D00C80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c>
          <w:tcPr>
            <w:tcW w:w="2309" w:type="dxa"/>
            <w:tcBorders>
              <w:tl2br w:val="nil"/>
              <w:tr2bl w:val="nil"/>
            </w:tcBorders>
            <w:noWrap w:val="0"/>
            <w:tcMar>
              <w:top w:w="28" w:type="dxa"/>
              <w:left w:w="28" w:type="dxa"/>
              <w:bottom w:w="28" w:type="dxa"/>
              <w:right w:w="28" w:type="dxa"/>
            </w:tcMar>
            <w:vAlign w:val="center"/>
          </w:tcPr>
          <w:p w14:paraId="10AE7D5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5EB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B39D63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173</w:t>
            </w:r>
          </w:p>
        </w:tc>
        <w:tc>
          <w:tcPr>
            <w:tcW w:w="988" w:type="dxa"/>
            <w:tcBorders>
              <w:tl2br w:val="nil"/>
              <w:tr2bl w:val="nil"/>
            </w:tcBorders>
            <w:noWrap w:val="0"/>
            <w:tcMar>
              <w:top w:w="28" w:type="dxa"/>
              <w:left w:w="28" w:type="dxa"/>
              <w:bottom w:w="28" w:type="dxa"/>
              <w:right w:w="28" w:type="dxa"/>
            </w:tcMar>
            <w:vAlign w:val="center"/>
          </w:tcPr>
          <w:p w14:paraId="3F93255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保障措施</w:t>
            </w:r>
          </w:p>
        </w:tc>
        <w:tc>
          <w:tcPr>
            <w:tcW w:w="2038" w:type="dxa"/>
            <w:tcBorders>
              <w:tl2br w:val="nil"/>
              <w:tr2bl w:val="nil"/>
            </w:tcBorders>
            <w:noWrap w:val="0"/>
            <w:tcMar>
              <w:top w:w="28" w:type="dxa"/>
              <w:left w:w="28" w:type="dxa"/>
              <w:bottom w:w="28" w:type="dxa"/>
              <w:right w:w="28" w:type="dxa"/>
            </w:tcMar>
            <w:vAlign w:val="center"/>
          </w:tcPr>
          <w:p w14:paraId="457EA47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开展突出问题专项整治</w:t>
            </w:r>
          </w:p>
        </w:tc>
        <w:tc>
          <w:tcPr>
            <w:tcW w:w="4992" w:type="dxa"/>
            <w:tcBorders>
              <w:tl2br w:val="nil"/>
              <w:tr2bl w:val="nil"/>
            </w:tcBorders>
            <w:noWrap w:val="0"/>
            <w:tcMar>
              <w:top w:w="28" w:type="dxa"/>
              <w:left w:w="28" w:type="dxa"/>
              <w:bottom w:w="28" w:type="dxa"/>
              <w:right w:w="28" w:type="dxa"/>
            </w:tcMar>
            <w:vAlign w:val="center"/>
          </w:tcPr>
          <w:p w14:paraId="033559C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深入治理“新官不理旧账”专项整治不到位、“躺平”不作为、权力寻租、利益输送等突出问题。</w:t>
            </w:r>
          </w:p>
        </w:tc>
        <w:tc>
          <w:tcPr>
            <w:tcW w:w="2251" w:type="dxa"/>
            <w:tcBorders>
              <w:tl2br w:val="nil"/>
              <w:tr2bl w:val="nil"/>
            </w:tcBorders>
            <w:noWrap w:val="0"/>
            <w:tcMar>
              <w:top w:w="28" w:type="dxa"/>
              <w:left w:w="28" w:type="dxa"/>
              <w:bottom w:w="28" w:type="dxa"/>
              <w:right w:w="28" w:type="dxa"/>
            </w:tcMar>
            <w:vAlign w:val="center"/>
          </w:tcPr>
          <w:p w14:paraId="483AC1F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自治区纪委监委机关，自治区发展改革委、数据局</w:t>
            </w:r>
          </w:p>
        </w:tc>
        <w:tc>
          <w:tcPr>
            <w:tcW w:w="2309" w:type="dxa"/>
            <w:tcBorders>
              <w:tl2br w:val="nil"/>
              <w:tr2bl w:val="nil"/>
            </w:tcBorders>
            <w:noWrap w:val="0"/>
            <w:tcMar>
              <w:top w:w="28" w:type="dxa"/>
              <w:left w:w="28" w:type="dxa"/>
              <w:bottom w:w="28" w:type="dxa"/>
              <w:right w:w="28" w:type="dxa"/>
            </w:tcMar>
            <w:vAlign w:val="center"/>
          </w:tcPr>
          <w:p w14:paraId="56BC466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lang w:val="en-US" w:eastAsia="zh-CN" w:bidi="ar"/>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自治区优化营商环境工作领导小组其他成员</w:t>
            </w:r>
          </w:p>
          <w:p w14:paraId="4BB0CD17">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单位</w:t>
            </w:r>
          </w:p>
        </w:tc>
      </w:tr>
      <w:tr w14:paraId="5320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21E52F78">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174</w:t>
            </w:r>
          </w:p>
        </w:tc>
        <w:tc>
          <w:tcPr>
            <w:tcW w:w="988" w:type="dxa"/>
            <w:vMerge w:val="restart"/>
            <w:tcBorders>
              <w:tl2br w:val="nil"/>
              <w:tr2bl w:val="nil"/>
            </w:tcBorders>
            <w:noWrap w:val="0"/>
            <w:tcMar>
              <w:top w:w="28" w:type="dxa"/>
              <w:left w:w="28" w:type="dxa"/>
              <w:bottom w:w="28" w:type="dxa"/>
              <w:right w:w="28" w:type="dxa"/>
            </w:tcMar>
            <w:vAlign w:val="center"/>
          </w:tcPr>
          <w:p w14:paraId="6B25BF65">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保障措施</w:t>
            </w:r>
          </w:p>
        </w:tc>
        <w:tc>
          <w:tcPr>
            <w:tcW w:w="2038" w:type="dxa"/>
            <w:tcBorders>
              <w:tl2br w:val="nil"/>
              <w:tr2bl w:val="nil"/>
            </w:tcBorders>
            <w:noWrap w:val="0"/>
            <w:tcMar>
              <w:top w:w="28" w:type="dxa"/>
              <w:left w:w="28" w:type="dxa"/>
              <w:bottom w:w="28" w:type="dxa"/>
              <w:right w:w="28" w:type="dxa"/>
            </w:tcMar>
            <w:vAlign w:val="center"/>
          </w:tcPr>
          <w:p w14:paraId="5D6367E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强化数据互联互通</w:t>
            </w:r>
          </w:p>
        </w:tc>
        <w:tc>
          <w:tcPr>
            <w:tcW w:w="4992" w:type="dxa"/>
            <w:tcBorders>
              <w:tl2br w:val="nil"/>
              <w:tr2bl w:val="nil"/>
            </w:tcBorders>
            <w:noWrap w:val="0"/>
            <w:tcMar>
              <w:top w:w="28" w:type="dxa"/>
              <w:left w:w="28" w:type="dxa"/>
              <w:bottom w:w="28" w:type="dxa"/>
              <w:right w:w="28" w:type="dxa"/>
            </w:tcMar>
            <w:vAlign w:val="center"/>
          </w:tcPr>
          <w:p w14:paraId="1A2CDA0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强化自治区数据共享交换平台与各行业系统数据汇聚。健全政务数据共享协调机制，实现跨层次、跨地域、跨系统、跨部门、跨业务“一网通办”、“一网统管”、“一网协同”。</w:t>
            </w:r>
          </w:p>
        </w:tc>
        <w:tc>
          <w:tcPr>
            <w:tcW w:w="2251" w:type="dxa"/>
            <w:tcBorders>
              <w:tl2br w:val="nil"/>
              <w:tr2bl w:val="nil"/>
            </w:tcBorders>
            <w:noWrap w:val="0"/>
            <w:tcMar>
              <w:top w:w="28" w:type="dxa"/>
              <w:left w:w="28" w:type="dxa"/>
              <w:bottom w:w="28" w:type="dxa"/>
              <w:right w:w="28" w:type="dxa"/>
            </w:tcMar>
            <w:vAlign w:val="center"/>
          </w:tcPr>
          <w:p w14:paraId="1B17B20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自治区数据局</w:t>
            </w:r>
          </w:p>
        </w:tc>
        <w:tc>
          <w:tcPr>
            <w:tcW w:w="2309" w:type="dxa"/>
            <w:tcBorders>
              <w:tl2br w:val="nil"/>
              <w:tr2bl w:val="nil"/>
            </w:tcBorders>
            <w:noWrap w:val="0"/>
            <w:tcMar>
              <w:top w:w="28" w:type="dxa"/>
              <w:left w:w="28" w:type="dxa"/>
              <w:bottom w:w="28" w:type="dxa"/>
              <w:right w:w="28" w:type="dxa"/>
            </w:tcMar>
            <w:vAlign w:val="center"/>
          </w:tcPr>
          <w:p w14:paraId="552EB92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3B50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3E48578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175</w:t>
            </w:r>
          </w:p>
        </w:tc>
        <w:tc>
          <w:tcPr>
            <w:tcW w:w="988" w:type="dxa"/>
            <w:vMerge w:val="continue"/>
            <w:tcBorders>
              <w:tl2br w:val="nil"/>
              <w:tr2bl w:val="nil"/>
            </w:tcBorders>
            <w:noWrap w:val="0"/>
            <w:tcMar>
              <w:top w:w="28" w:type="dxa"/>
              <w:left w:w="28" w:type="dxa"/>
              <w:bottom w:w="28" w:type="dxa"/>
              <w:right w:w="28" w:type="dxa"/>
            </w:tcMar>
            <w:vAlign w:val="center"/>
          </w:tcPr>
          <w:p w14:paraId="683FADE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restart"/>
            <w:tcBorders>
              <w:tl2br w:val="nil"/>
              <w:tr2bl w:val="nil"/>
            </w:tcBorders>
            <w:noWrap w:val="0"/>
            <w:tcMar>
              <w:top w:w="28" w:type="dxa"/>
              <w:left w:w="28" w:type="dxa"/>
              <w:bottom w:w="28" w:type="dxa"/>
              <w:right w:w="28" w:type="dxa"/>
            </w:tcMar>
            <w:vAlign w:val="center"/>
          </w:tcPr>
          <w:p w14:paraId="390AEAA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健全考核奖惩机制</w:t>
            </w:r>
          </w:p>
        </w:tc>
        <w:tc>
          <w:tcPr>
            <w:tcW w:w="4992" w:type="dxa"/>
            <w:tcBorders>
              <w:tl2br w:val="nil"/>
              <w:tr2bl w:val="nil"/>
            </w:tcBorders>
            <w:noWrap w:val="0"/>
            <w:tcMar>
              <w:top w:w="28" w:type="dxa"/>
              <w:left w:w="28" w:type="dxa"/>
              <w:bottom w:w="28" w:type="dxa"/>
              <w:right w:w="28" w:type="dxa"/>
            </w:tcMar>
            <w:vAlign w:val="center"/>
          </w:tcPr>
          <w:p w14:paraId="3AE316A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以市场主体满意度为导向，进一步完善营商环境评价指标体系和评估工作，规范开展营商环境评估，形成监测、评价、反馈、整改有效衔接的工作闭环。</w:t>
            </w:r>
          </w:p>
        </w:tc>
        <w:tc>
          <w:tcPr>
            <w:tcW w:w="2251" w:type="dxa"/>
            <w:tcBorders>
              <w:tl2br w:val="nil"/>
              <w:tr2bl w:val="nil"/>
            </w:tcBorders>
            <w:noWrap w:val="0"/>
            <w:tcMar>
              <w:top w:w="28" w:type="dxa"/>
              <w:left w:w="28" w:type="dxa"/>
              <w:bottom w:w="28" w:type="dxa"/>
              <w:right w:w="28" w:type="dxa"/>
            </w:tcMar>
            <w:vAlign w:val="center"/>
          </w:tcPr>
          <w:p w14:paraId="0CDDB6F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c>
          <w:tcPr>
            <w:tcW w:w="2309" w:type="dxa"/>
            <w:tcBorders>
              <w:tl2br w:val="nil"/>
              <w:tr2bl w:val="nil"/>
            </w:tcBorders>
            <w:noWrap w:val="0"/>
            <w:tcMar>
              <w:top w:w="28" w:type="dxa"/>
              <w:left w:w="28" w:type="dxa"/>
              <w:bottom w:w="28" w:type="dxa"/>
              <w:right w:w="28" w:type="dxa"/>
            </w:tcMar>
            <w:vAlign w:val="center"/>
          </w:tcPr>
          <w:p w14:paraId="2DE028A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D73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02323E7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176</w:t>
            </w:r>
          </w:p>
        </w:tc>
        <w:tc>
          <w:tcPr>
            <w:tcW w:w="988" w:type="dxa"/>
            <w:vMerge w:val="continue"/>
            <w:tcBorders>
              <w:tl2br w:val="nil"/>
              <w:tr2bl w:val="nil"/>
            </w:tcBorders>
            <w:noWrap w:val="0"/>
            <w:tcMar>
              <w:top w:w="28" w:type="dxa"/>
              <w:left w:w="28" w:type="dxa"/>
              <w:bottom w:w="28" w:type="dxa"/>
              <w:right w:w="28" w:type="dxa"/>
            </w:tcMar>
            <w:vAlign w:val="center"/>
          </w:tcPr>
          <w:p w14:paraId="67993599">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vMerge w:val="continue"/>
            <w:tcBorders>
              <w:tl2br w:val="nil"/>
              <w:tr2bl w:val="nil"/>
            </w:tcBorders>
            <w:noWrap w:val="0"/>
            <w:tcMar>
              <w:top w:w="28" w:type="dxa"/>
              <w:left w:w="28" w:type="dxa"/>
              <w:bottom w:w="28" w:type="dxa"/>
              <w:right w:w="28" w:type="dxa"/>
            </w:tcMar>
            <w:vAlign w:val="center"/>
          </w:tcPr>
          <w:p w14:paraId="41BED00A">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4992" w:type="dxa"/>
            <w:tcBorders>
              <w:tl2br w:val="nil"/>
              <w:tr2bl w:val="nil"/>
            </w:tcBorders>
            <w:noWrap w:val="0"/>
            <w:tcMar>
              <w:top w:w="28" w:type="dxa"/>
              <w:left w:w="28" w:type="dxa"/>
              <w:bottom w:w="28" w:type="dxa"/>
              <w:right w:w="28" w:type="dxa"/>
            </w:tcMar>
            <w:vAlign w:val="center"/>
          </w:tcPr>
          <w:p w14:paraId="22C0FBB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建立科学规范的奖惩机制，明确精准奖罚、同奖同罚细则，完善容错纠错措施，将有关结果应用到目标考核、评优评先、干部任用、领导干部和班子考核中，加强对破坏营商环境问题责任追究。</w:t>
            </w:r>
          </w:p>
        </w:tc>
        <w:tc>
          <w:tcPr>
            <w:tcW w:w="2251" w:type="dxa"/>
            <w:tcBorders>
              <w:tl2br w:val="nil"/>
              <w:tr2bl w:val="nil"/>
            </w:tcBorders>
            <w:noWrap w:val="0"/>
            <w:tcMar>
              <w:top w:w="28" w:type="dxa"/>
              <w:left w:w="28" w:type="dxa"/>
              <w:bottom w:w="28" w:type="dxa"/>
              <w:right w:w="28" w:type="dxa"/>
            </w:tcMar>
            <w:vAlign w:val="center"/>
          </w:tcPr>
          <w:p w14:paraId="24384A9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自治区发展改革委</w:t>
            </w:r>
          </w:p>
        </w:tc>
        <w:tc>
          <w:tcPr>
            <w:tcW w:w="2309" w:type="dxa"/>
            <w:tcBorders>
              <w:tl2br w:val="nil"/>
              <w:tr2bl w:val="nil"/>
            </w:tcBorders>
            <w:noWrap w:val="0"/>
            <w:tcMar>
              <w:top w:w="28" w:type="dxa"/>
              <w:left w:w="28" w:type="dxa"/>
              <w:bottom w:w="28" w:type="dxa"/>
              <w:right w:w="28" w:type="dxa"/>
            </w:tcMar>
            <w:vAlign w:val="center"/>
          </w:tcPr>
          <w:p w14:paraId="515F3FD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自治区纪委监委机关，自治区党委组织部</w:t>
            </w:r>
          </w:p>
        </w:tc>
      </w:tr>
      <w:tr w14:paraId="6E5B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7B3986FD">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177</w:t>
            </w:r>
          </w:p>
        </w:tc>
        <w:tc>
          <w:tcPr>
            <w:tcW w:w="988" w:type="dxa"/>
            <w:vMerge w:val="continue"/>
            <w:tcBorders>
              <w:tl2br w:val="nil"/>
              <w:tr2bl w:val="nil"/>
            </w:tcBorders>
            <w:noWrap w:val="0"/>
            <w:tcMar>
              <w:top w:w="28" w:type="dxa"/>
              <w:left w:w="28" w:type="dxa"/>
              <w:bottom w:w="28" w:type="dxa"/>
              <w:right w:w="28" w:type="dxa"/>
            </w:tcMar>
            <w:vAlign w:val="center"/>
          </w:tcPr>
          <w:p w14:paraId="5B4C8836">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0782B38B">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严格招商优惠政策制定</w:t>
            </w:r>
          </w:p>
        </w:tc>
        <w:tc>
          <w:tcPr>
            <w:tcW w:w="4992" w:type="dxa"/>
            <w:tcBorders>
              <w:tl2br w:val="nil"/>
              <w:tr2bl w:val="nil"/>
            </w:tcBorders>
            <w:noWrap w:val="0"/>
            <w:tcMar>
              <w:top w:w="28" w:type="dxa"/>
              <w:left w:w="28" w:type="dxa"/>
              <w:bottom w:w="28" w:type="dxa"/>
              <w:right w:w="28" w:type="dxa"/>
            </w:tcMar>
            <w:vAlign w:val="center"/>
          </w:tcPr>
          <w:p w14:paraId="5B1D2D5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重点对外的招商引资政策出台前，除向社会公众、利害关系人、法律顾问征求意见外，对涉及政策覆盖范围、奖补扶持政策核心条款或政策依据可能存在争议的核心条款，必须严格进行公平竞争审查，并确保可以按时按质按量兑现政策。</w:t>
            </w:r>
          </w:p>
        </w:tc>
        <w:tc>
          <w:tcPr>
            <w:tcW w:w="2251" w:type="dxa"/>
            <w:tcBorders>
              <w:tl2br w:val="nil"/>
              <w:tr2bl w:val="nil"/>
            </w:tcBorders>
            <w:noWrap w:val="0"/>
            <w:tcMar>
              <w:top w:w="28" w:type="dxa"/>
              <w:left w:w="28" w:type="dxa"/>
              <w:bottom w:w="28" w:type="dxa"/>
              <w:right w:w="28" w:type="dxa"/>
            </w:tcMar>
            <w:vAlign w:val="center"/>
          </w:tcPr>
          <w:p w14:paraId="5886B9D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686B9F7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r>
      <w:tr w14:paraId="7ECDB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18" w:type="dxa"/>
            <w:tcBorders>
              <w:tl2br w:val="nil"/>
              <w:tr2bl w:val="nil"/>
            </w:tcBorders>
            <w:noWrap w:val="0"/>
            <w:tcMar>
              <w:top w:w="28" w:type="dxa"/>
              <w:left w:w="28" w:type="dxa"/>
              <w:bottom w:w="28" w:type="dxa"/>
              <w:right w:w="28" w:type="dxa"/>
            </w:tcMar>
            <w:vAlign w:val="center"/>
          </w:tcPr>
          <w:p w14:paraId="130386CE">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178</w:t>
            </w:r>
          </w:p>
        </w:tc>
        <w:tc>
          <w:tcPr>
            <w:tcW w:w="988" w:type="dxa"/>
            <w:vMerge w:val="continue"/>
            <w:tcBorders>
              <w:tl2br w:val="nil"/>
              <w:tr2bl w:val="nil"/>
            </w:tcBorders>
            <w:noWrap w:val="0"/>
            <w:tcMar>
              <w:top w:w="28" w:type="dxa"/>
              <w:left w:w="28" w:type="dxa"/>
              <w:bottom w:w="28" w:type="dxa"/>
              <w:right w:w="28" w:type="dxa"/>
            </w:tcMar>
            <w:vAlign w:val="center"/>
          </w:tcPr>
          <w:p w14:paraId="1AF3A024">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p>
        </w:tc>
        <w:tc>
          <w:tcPr>
            <w:tcW w:w="2038" w:type="dxa"/>
            <w:tcBorders>
              <w:tl2br w:val="nil"/>
              <w:tr2bl w:val="nil"/>
            </w:tcBorders>
            <w:noWrap w:val="0"/>
            <w:tcMar>
              <w:top w:w="28" w:type="dxa"/>
              <w:left w:w="28" w:type="dxa"/>
              <w:bottom w:w="28" w:type="dxa"/>
              <w:right w:w="28" w:type="dxa"/>
            </w:tcMar>
            <w:vAlign w:val="center"/>
          </w:tcPr>
          <w:p w14:paraId="59728861">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因地制宜建立差异化招商考核机制</w:t>
            </w:r>
          </w:p>
        </w:tc>
        <w:tc>
          <w:tcPr>
            <w:tcW w:w="4992" w:type="dxa"/>
            <w:tcBorders>
              <w:tl2br w:val="nil"/>
              <w:tr2bl w:val="nil"/>
            </w:tcBorders>
            <w:noWrap w:val="0"/>
            <w:tcMar>
              <w:top w:w="28" w:type="dxa"/>
              <w:left w:w="28" w:type="dxa"/>
              <w:bottom w:w="28" w:type="dxa"/>
              <w:right w:w="28" w:type="dxa"/>
            </w:tcMar>
            <w:vAlign w:val="center"/>
          </w:tcPr>
          <w:p w14:paraId="581E306C">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both"/>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进一步完善招商引资行为相关制度，规范各地招商行为，避免“超常规优惠”政策引发“内卷内耗”，根据各市实际情况对各地的空间、条件、层次划底线、设上限。</w:t>
            </w:r>
          </w:p>
        </w:tc>
        <w:tc>
          <w:tcPr>
            <w:tcW w:w="2251" w:type="dxa"/>
            <w:tcBorders>
              <w:tl2br w:val="nil"/>
              <w:tr2bl w:val="nil"/>
            </w:tcBorders>
            <w:noWrap w:val="0"/>
            <w:tcMar>
              <w:top w:w="28" w:type="dxa"/>
              <w:left w:w="28" w:type="dxa"/>
              <w:bottom w:w="28" w:type="dxa"/>
              <w:right w:w="28" w:type="dxa"/>
            </w:tcMar>
            <w:vAlign w:val="center"/>
          </w:tcPr>
          <w:p w14:paraId="3F488D1F">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自治区园区办</w:t>
            </w:r>
          </w:p>
        </w:tc>
        <w:tc>
          <w:tcPr>
            <w:tcW w:w="2309" w:type="dxa"/>
            <w:tcBorders>
              <w:tl2br w:val="nil"/>
              <w:tr2bl w:val="nil"/>
            </w:tcBorders>
            <w:noWrap w:val="0"/>
            <w:tcMar>
              <w:top w:w="28" w:type="dxa"/>
              <w:left w:w="28" w:type="dxa"/>
              <w:bottom w:w="28" w:type="dxa"/>
              <w:right w:w="28" w:type="dxa"/>
            </w:tcMar>
            <w:vAlign w:val="center"/>
          </w:tcPr>
          <w:p w14:paraId="3A91B430">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9"/>
              <w:rPr>
                <w:rFonts w:hint="eastAsia" w:ascii="Times New Roman" w:hAnsi="Times New Roman" w:eastAsia="方正书宋_GBK" w:cs="方正书宋_GBK"/>
                <w:i w:val="0"/>
                <w:snapToGrid w:val="0"/>
                <w:color w:val="auto"/>
                <w:spacing w:val="0"/>
                <w:kern w:val="21"/>
                <w:sz w:val="22"/>
                <w:szCs w:val="22"/>
                <w:u w:val="none"/>
              </w:rPr>
            </w:pPr>
            <w:r>
              <w:rPr>
                <w:rFonts w:hint="eastAsia" w:ascii="Times New Roman" w:hAnsi="Times New Roman" w:eastAsia="方正书宋_GBK" w:cs="方正书宋_GBK"/>
                <w:i w:val="0"/>
                <w:snapToGrid w:val="0"/>
                <w:color w:val="auto"/>
                <w:spacing w:val="0"/>
                <w:kern w:val="21"/>
                <w:sz w:val="22"/>
                <w:szCs w:val="22"/>
                <w:u w:val="none"/>
                <w:lang w:val="en-US" w:eastAsia="zh-CN" w:bidi="ar"/>
              </w:rPr>
              <w:t>各市、县人民政府</w:t>
            </w:r>
          </w:p>
        </w:tc>
      </w:tr>
    </w:tbl>
    <w:p w14:paraId="19E1D227"/>
    <w:sectPr>
      <w:pgSz w:w="16838" w:h="11906" w:orient="landscape"/>
      <w:pgMar w:top="1587" w:right="2098" w:bottom="1587" w:left="1757" w:header="851" w:footer="992" w:gutter="0"/>
      <w:cols w:space="0" w:num="1"/>
      <w:rtlGutter w:val="0"/>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zMzZWU4MWNhNTdkNzY2M2IwZGRjOGFlMzgzMGMifQ=="/>
  </w:docVars>
  <w:rsids>
    <w:rsidRoot w:val="4DFD099B"/>
    <w:rsid w:val="096B303A"/>
    <w:rsid w:val="19D95F1E"/>
    <w:rsid w:val="223067CD"/>
    <w:rsid w:val="2A37166F"/>
    <w:rsid w:val="2B3B7993"/>
    <w:rsid w:val="4DFD099B"/>
    <w:rsid w:val="51DF4444"/>
    <w:rsid w:val="62267368"/>
    <w:rsid w:val="65533E5D"/>
    <w:rsid w:val="76CD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0"/>
      <w:szCs w:val="30"/>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b/>
      <w:kern w:val="44"/>
      <w:sz w:val="4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next w:val="1"/>
    <w:qFormat/>
    <w:uiPriority w:val="0"/>
    <w:pPr>
      <w:spacing w:line="600" w:lineRule="exact"/>
      <w:ind w:firstLine="640" w:firstLineChars="200"/>
    </w:pPr>
    <w:rPr>
      <w:rFonts w:ascii="楷体_GB2312" w:eastAsia="楷体_GB2312"/>
      <w:sz w:val="32"/>
      <w:szCs w:val="32"/>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0">
    <w:name w:val="默认段落 Char Char Char Char Char Char Char Char Char Char Char Char Char Char Char Char Char Char Char Char Char Char Char Char1 Char Char Char Char Char Char Char Char Char Char Char Char"/>
    <w:basedOn w:val="1"/>
    <w:qFormat/>
    <w:uiPriority w:val="0"/>
    <w:pPr>
      <w:widowControl/>
      <w:spacing w:line="400" w:lineRule="exact"/>
      <w:jc w:val="center"/>
    </w:pPr>
    <w:rPr>
      <w:rFonts w:ascii="Arial" w:hAnsi="Arial" w:eastAsia="Times New Roman"/>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19240</Words>
  <Characters>19735</Characters>
  <Lines>0</Lines>
  <Paragraphs>0</Paragraphs>
  <TotalTime>0</TotalTime>
  <ScaleCrop>false</ScaleCrop>
  <LinksUpToDate>false</LinksUpToDate>
  <CharactersWithSpaces>19735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2024-06-11T01:53:00Z</dcterms:created>
  <dc:creator>欧m</dc:creator>
  <cp:lastModifiedBy>Rancho</cp:lastModifiedBy>
  <dcterms:modified xsi:type="dcterms:W3CDTF">2024-08-30T09:57:56Z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10FB8449F7C346A3BA2B8297AAA03672_11</vt:lpwstr>
  </property>
</Properties>
</file>